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Default Extension="fntdata" ContentType="application/x-fontdata"/>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header19.xml" ContentType="application/vnd.openxmlformats-officedocument.wordprocessingml.header+xml"/>
  <Override PartName="/word/document.xml" ContentType="application/vnd.openxmlformats-officedocument.wordprocessingml.document.main+xml"/>
  <Override PartName="/word/footer1.xml" ContentType="application/vnd.openxmlformats-officedocument.wordprocessingml.footer+xml"/>
  <Override PartName="/word/footer12.xml" ContentType="application/vnd.openxmlformats-officedocument.wordprocessingml.footer+xml"/>
  <Override PartName="/word/styles.xml" ContentType="application/vnd.openxmlformats-officedocument.wordprocessingml.styles+xml"/>
  <Override PartName="/word/footer21.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media/image1.jpeg" ContentType="image/jpeg"/>
  <Override PartName="/word/media/image3.png" ContentType="image/png"/>
  <Override PartName="/word/media/image2.jpeg" ContentType="image/jpeg"/>
  <Override PartName="/word/media/image4.jpeg" ContentType="image/jpeg"/>
  <Override PartName="/word/footer16.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20.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22.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oter23.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24.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oter25.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3.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4.xml" ContentType="application/vnd.openxmlformats-officedocument.wordprocessingml.footer+xml"/>
  <Override PartName="/word/numbering.xml" ContentType="application/vnd.openxmlformats-officedocument.wordprocessingml.numbering+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fontTable.xml" ContentType="application/vnd.openxmlformats-officedocument.wordprocessingml.fontTable+xml"/>
  <Override PartName="/word/footer19.xml" ContentType="application/vnd.openxmlformats-officedocument.wordprocessingml.foot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settings.xml" ContentType="application/vnd.openxmlformats-officedocument.wordprocessingml.settings+xml"/>
  <Override PartName="/word/theme/theme1.xml" ContentType="application/vnd.openxmlformats-officedocument.theme+xml"/>
  <Override PartName="/word/_rels/footer1.xml.rels" ContentType="application/vnd.openxmlformats-package.relationships+xml"/>
  <Override PartName="/word/_rels/document.xml.rels" ContentType="application/vnd.openxmlformats-package.relationships+xml"/>
  <Override PartName="/word/_rels/footer12.xml.rels" ContentType="application/vnd.openxmlformats-package.relationships+xml"/>
  <Override PartName="/word/_rels/footer4.xml.rels" ContentType="application/vnd.openxmlformats-package.relationships+xml"/>
  <Override PartName="/word/_rels/header2.xml.rels" ContentType="application/vnd.openxmlformats-package.relationships+xml"/>
  <Override PartName="/word/_rels/header6.xml.rels" ContentType="application/vnd.openxmlformats-package.relationships+xml"/>
  <Override PartName="/word/_rels/footer8.xml.rels" ContentType="application/vnd.openxmlformats-package.relationships+xml"/>
  <Override PartName="/word/_rels/footer16.xml.rels" ContentType="application/vnd.openxmlformats-package.relationships+xml"/>
  <Override PartName="/word/_rels/footer20.xml.rels" ContentType="application/vnd.openxmlformats-package.relationships+xml"/>
  <Override PartName="/word/_rels/header1.xml.rels" ContentType="application/vnd.openxmlformats-package.relationships+xml"/>
  <Override PartName="/word/_rels/footer22.xml.rels" ContentType="application/vnd.openxmlformats-package.relationships+xml"/>
  <Override PartName="/word/_rels/footer2.xml.rels" ContentType="application/vnd.openxmlformats-package.relationships+xml"/>
  <Override PartName="/word/_rels/footer10.xml.rels" ContentType="application/vnd.openxmlformats-package.relationships+xml"/>
  <Override PartName="/word/_rels/footer6.xml.rels" ContentType="application/vnd.openxmlformats-package.relationships+xml"/>
  <Override PartName="/word/_rels/header4.xml.rels" ContentType="application/vnd.openxmlformats-package.relationships+xml"/>
  <Override PartName="/word/_rels/footer14.xml.rels" ContentType="application/vnd.openxmlformats-package.relationships+xml"/>
  <Override PartName="/word/_rels/footer24.xml.rels" ContentType="application/vnd.openxmlformats-package.relationships+xml"/>
  <Override PartName="/word/_rels/header8.xml.rels" ContentType="application/vnd.openxmlformats-package.relationships+xml"/>
  <Override PartName="/word/_rels/footer18.xml.rels" ContentType="application/vnd.openxmlformats-package.relationships+xml"/>
  <Override PartName="/word/_rels/header10.xml.rels" ContentType="application/vnd.openxmlformats-package.relationships+xml"/>
  <Override PartName="/word/_rels/header12.xml.rels" ContentType="application/vnd.openxmlformats-package.relationships+xml"/>
  <Override PartName="/word/_rels/header14.xml.rels" ContentType="application/vnd.openxmlformats-package.relationships+xml"/>
  <Override PartName="/word/_rels/header16.xml.rels" ContentType="application/vnd.openxmlformats-package.relationships+xml"/>
  <Override PartName="/word/_rels/header18.xml.rels" ContentType="application/vnd.openxmlformats-package.relationships+xml"/>
  <Override PartName="/word/_rels/header20.xml.rels" ContentType="application/vnd.openxmlformats-package.relationships+xml"/>
  <Override PartName="/word/_rels/header22.xml.rels" ContentType="application/vnd.openxmlformats-package.relationships+xml"/>
  <Override PartName="/word/_rels/header24.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center"/>
        <w:rPr/>
      </w:pPr>
      <w:r>
        <w:rPr/>
        <w:drawing>
          <wp:inline distT="0" distB="0" distL="0" distR="0">
            <wp:extent cx="1021080" cy="1358265"/>
            <wp:effectExtent l="0" t="0" r="0" b="0"/>
            <wp:docPr id="1" name="Image 1" descr="Modèle de communiqué de pres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Modèle de communiqué de presse"/>
                    <pic:cNvPicPr>
                      <a:picLocks noChangeAspect="1" noChangeArrowheads="1"/>
                    </pic:cNvPicPr>
                  </pic:nvPicPr>
                  <pic:blipFill>
                    <a:blip r:embed="rId2"/>
                    <a:stretch>
                      <a:fillRect/>
                    </a:stretch>
                  </pic:blipFill>
                  <pic:spPr bwMode="auto">
                    <a:xfrm>
                      <a:off x="0" y="0"/>
                      <a:ext cx="1021080" cy="1358265"/>
                    </a:xfrm>
                    <a:prstGeom prst="rect">
                      <a:avLst/>
                    </a:prstGeom>
                    <a:noFill/>
                  </pic:spPr>
                </pic:pic>
              </a:graphicData>
            </a:graphic>
          </wp:inline>
        </w:drawing>
      </w:r>
    </w:p>
    <w:p>
      <w:pPr>
        <w:pStyle w:val="Normal"/>
        <w:jc w:val="center"/>
        <w:rPr>
          <w:rFonts w:cs="Arial"/>
          <w:b/>
          <w:sz w:val="36"/>
          <w:szCs w:val="36"/>
        </w:rPr>
      </w:pPr>
      <w:r>
        <w:rPr>
          <w:rFonts w:cs="Arial"/>
          <w:b/>
          <w:sz w:val="36"/>
          <w:szCs w:val="36"/>
        </w:rPr>
        <mc:AlternateContent>
          <mc:Choice Requires="wps">
            <w:drawing>
              <wp:anchor distT="0" distB="0" distL="0" distR="0" simplePos="0" relativeHeight="134" behindDoc="0" locked="0" layoutInCell="1" allowOverlap="1">
                <wp:simplePos x="0" y="0"/>
                <wp:positionH relativeFrom="column">
                  <wp:posOffset>267970</wp:posOffset>
                </wp:positionH>
                <wp:positionV relativeFrom="paragraph">
                  <wp:posOffset>90170</wp:posOffset>
                </wp:positionV>
                <wp:extent cx="6051550" cy="154940"/>
                <wp:effectExtent l="0" t="0" r="0" b="0"/>
                <wp:wrapNone/>
                <wp:docPr id="2" name="Rectangle 13"/>
                <a:graphic xmlns:a="http://schemas.openxmlformats.org/drawingml/2006/main">
                  <a:graphicData uri="http://schemas.microsoft.com/office/word/2010/wordprocessingShape">
                    <wps:wsp>
                      <wps:cNvSpPr/>
                      <wps:spPr>
                        <a:xfrm>
                          <a:off x="0" y="0"/>
                          <a:ext cx="6051600" cy="154800"/>
                        </a:xfrm>
                        <a:prstGeom prst="rect">
                          <a:avLst/>
                        </a:prstGeom>
                        <a:gradFill rotWithShape="0">
                          <a:gsLst>
                            <a:gs pos="0">
                              <a:srgbClr val="FFFFFF"/>
                            </a:gs>
                            <a:gs pos="100000">
                              <a:srgbClr val="BFBFBF"/>
                            </a:gs>
                          </a:gsLst>
                          <a:lin ang="5400000"/>
                        </a:gradFill>
                        <a:ln w="0">
                          <a:noFill/>
                        </a:ln>
                      </wps:spPr>
                      <wps:style>
                        <a:lnRef idx="0"/>
                        <a:fillRef idx="0"/>
                        <a:effectRef idx="0"/>
                        <a:fontRef idx="minor"/>
                      </wps:style>
                      <wps:bodyPr/>
                    </wps:wsp>
                  </a:graphicData>
                </a:graphic>
              </wp:anchor>
            </w:drawing>
          </mc:Choice>
          <mc:Fallback>
            <w:pict>
              <v:rect id="shape_0" fillcolor="#bfbfbf" stroked="f" o:allowincell="f" style="position:absolute;margin-left:21.1pt;margin-top:7.1pt;width:476.45pt;height:12.15pt;mso-wrap-style:none;v-text-anchor:middle">
                <v:fill o:detectmouseclick="t" color2="white"/>
                <v:stroke color="#3465a4" joinstyle="round" endcap="flat"/>
                <w10:wrap type="none"/>
              </v:rect>
            </w:pict>
          </mc:Fallback>
        </mc:AlternateContent>
      </w:r>
    </w:p>
    <w:p>
      <w:pPr>
        <w:pStyle w:val="ListParagraph"/>
        <w:jc w:val="center"/>
        <w:rPr/>
      </w:pPr>
      <w:bookmarkStart w:id="0" w:name="_Hlk137196224"/>
      <w:bookmarkStart w:id="1" w:name="_Hlk23143301"/>
      <w:bookmarkEnd w:id="1"/>
      <w:r>
        <w:rPr>
          <w:rFonts w:cs="Arial"/>
          <w:b/>
          <w:sz w:val="36"/>
          <w:szCs w:val="36"/>
        </w:rPr>
        <w:t xml:space="preserve">AUTOROUTE A20 TRANCHEE COUVERTE DE CHASTAINGT LIMOGES (87) - TRAVAUX DE </w:t>
      </w:r>
      <w:bookmarkEnd w:id="0"/>
      <w:r>
        <w:rPr>
          <w:rFonts w:cs="Arial"/>
          <w:b/>
          <w:sz w:val="36"/>
          <w:szCs w:val="36"/>
        </w:rPr>
        <w:t>REMPLACEMENT DU SYSTEME ANTIBRUIT</w:t>
      </w:r>
    </w:p>
    <w:p>
      <w:pPr>
        <w:pStyle w:val="Normal"/>
        <w:ind w:hanging="0" w:left="-284" w:right="0"/>
        <w:jc w:val="center"/>
        <w:rPr>
          <w:rFonts w:cs="Arial"/>
          <w:b/>
        </w:rPr>
      </w:pPr>
      <w:r>
        <w:rPr>
          <w:rFonts w:cs="Arial"/>
          <w:b/>
        </w:rPr>
        <mc:AlternateContent>
          <mc:Choice Requires="wps">
            <w:drawing>
              <wp:anchor distT="0" distB="0" distL="0" distR="0" simplePos="0" relativeHeight="135" behindDoc="0" locked="0" layoutInCell="1" allowOverlap="1">
                <wp:simplePos x="0" y="0"/>
                <wp:positionH relativeFrom="column">
                  <wp:posOffset>258445</wp:posOffset>
                </wp:positionH>
                <wp:positionV relativeFrom="paragraph">
                  <wp:posOffset>86360</wp:posOffset>
                </wp:positionV>
                <wp:extent cx="6050280" cy="153035"/>
                <wp:effectExtent l="0" t="0" r="0" b="0"/>
                <wp:wrapNone/>
                <wp:docPr id="3" name="Rectangle 11"/>
                <a:graphic xmlns:a="http://schemas.openxmlformats.org/drawingml/2006/main">
                  <a:graphicData uri="http://schemas.microsoft.com/office/word/2010/wordprocessingShape">
                    <wps:wsp>
                      <wps:cNvSpPr/>
                      <wps:spPr>
                        <a:xfrm rot="10800000">
                          <a:off x="0" y="0"/>
                          <a:ext cx="6050160" cy="153000"/>
                        </a:xfrm>
                        <a:prstGeom prst="rect">
                          <a:avLst/>
                        </a:prstGeom>
                        <a:gradFill rotWithShape="0">
                          <a:gsLst>
                            <a:gs pos="0">
                              <a:srgbClr val="BFBFBF"/>
                            </a:gs>
                            <a:gs pos="100000">
                              <a:srgbClr val="FFFFFF"/>
                            </a:gs>
                          </a:gsLst>
                          <a:lin ang="5400000"/>
                        </a:gradFill>
                        <a:ln w="0">
                          <a:noFill/>
                        </a:ln>
                      </wps:spPr>
                      <wps:style>
                        <a:lnRef idx="0"/>
                        <a:fillRef idx="0"/>
                        <a:effectRef idx="0"/>
                        <a:fontRef idx="minor"/>
                      </wps:style>
                      <wps:bodyPr/>
                    </wps:wsp>
                  </a:graphicData>
                </a:graphic>
              </wp:anchor>
            </w:drawing>
          </mc:Choice>
          <mc:Fallback>
            <w:pict>
              <v:rect id="shape_0" fillcolor="white" stroked="f" o:allowincell="f" style="position:absolute;margin-left:20.35pt;margin-top:6.8pt;width:476.35pt;height:12pt;mso-wrap-style:none;v-text-anchor:middle;rotation:180">
                <v:fill o:detectmouseclick="t" color2="#bfbfbf"/>
                <v:stroke color="#3465a4" joinstyle="round" endcap="flat"/>
                <w10:wrap type="none"/>
              </v:rect>
            </w:pict>
          </mc:Fallback>
        </mc:AlternateContent>
      </w:r>
    </w:p>
    <w:p>
      <w:pPr>
        <w:pStyle w:val="Normal"/>
        <w:ind w:hanging="0" w:left="-284" w:right="0"/>
        <w:jc w:val="center"/>
        <w:rPr>
          <w:rFonts w:cs="Arial"/>
          <w:b/>
        </w:rPr>
      </w:pPr>
      <w:r>
        <w:rPr>
          <w:rFonts w:cs="Arial"/>
          <w:b/>
        </w:rPr>
      </w:r>
    </w:p>
    <w:p>
      <w:pPr>
        <w:pStyle w:val="Normal"/>
        <w:ind w:hanging="0" w:left="-284" w:right="0"/>
        <w:jc w:val="center"/>
        <w:rPr/>
      </w:pPr>
      <w:bookmarkStart w:id="2" w:name="_Hlk69316648"/>
      <w:bookmarkStart w:id="3" w:name="_Hlk231433011"/>
      <w:bookmarkEnd w:id="2"/>
      <w:bookmarkEnd w:id="3"/>
      <w:r>
        <w:rPr/>
        <w:drawing>
          <wp:inline distT="0" distB="0" distL="0" distR="0">
            <wp:extent cx="6128385" cy="2632710"/>
            <wp:effectExtent l="0" t="0" r="0" b="0"/>
            <wp:docPr id="4" name="Image 2" descr="Une image contenant route, plein air, scène, voi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2" descr="Une image contenant route, plein air, scène, voie&#10;&#10;Le contenu généré par l’IA peut être incorrect."/>
                    <pic:cNvPicPr>
                      <a:picLocks noChangeAspect="1" noChangeArrowheads="1"/>
                    </pic:cNvPicPr>
                  </pic:nvPicPr>
                  <pic:blipFill>
                    <a:blip r:embed="rId3"/>
                    <a:srcRect l="0" t="21360" r="0" b="21360"/>
                    <a:stretch>
                      <a:fillRect/>
                    </a:stretch>
                  </pic:blipFill>
                  <pic:spPr bwMode="auto">
                    <a:xfrm>
                      <a:off x="0" y="0"/>
                      <a:ext cx="6128385" cy="2632710"/>
                    </a:xfrm>
                    <a:prstGeom prst="rect">
                      <a:avLst/>
                    </a:prstGeom>
                    <a:noFill/>
                  </pic:spPr>
                </pic:pic>
              </a:graphicData>
            </a:graphic>
          </wp:inline>
        </w:drawing>
      </w:r>
    </w:p>
    <w:p>
      <w:pPr>
        <w:pStyle w:val="Normal"/>
        <w:ind w:hanging="0" w:left="-284" w:right="0"/>
        <w:rPr>
          <w:rFonts w:cs="Arial"/>
          <w:b/>
        </w:rPr>
      </w:pPr>
      <w:r>
        <w:rPr>
          <w:rFonts w:cs="Arial"/>
          <w:b/>
        </w:rPr>
      </w:r>
      <w:bookmarkStart w:id="4" w:name="_Hlk693166481"/>
      <w:bookmarkEnd w:id="4"/>
      <w:r>
        <mc:AlternateContent>
          <mc:Choice Requires="wps">
            <w:drawing>
              <wp:anchor distT="0" distB="0" distL="89535" distR="89535" simplePos="0" relativeHeight="138" behindDoc="0" locked="0" layoutInCell="0" allowOverlap="1">
                <wp:simplePos x="0" y="0"/>
                <wp:positionH relativeFrom="margin">
                  <wp:align>center</wp:align>
                </wp:positionH>
                <wp:positionV relativeFrom="paragraph">
                  <wp:posOffset>81915</wp:posOffset>
                </wp:positionV>
                <wp:extent cx="5240655" cy="341630"/>
                <wp:effectExtent l="0" t="0" r="0" b="0"/>
                <wp:wrapSquare wrapText="bothSides"/>
                <wp:docPr id="5" name="Cadre21"/>
                <a:graphic xmlns:a="http://schemas.openxmlformats.org/drawingml/2006/main">
                  <a:graphicData uri="http://schemas.microsoft.com/office/word/2010/wordprocessingShape">
                    <wps:wsp>
                      <wps:cNvSpPr txBox="1"/>
                      <wps:spPr>
                        <a:xfrm>
                          <a:off x="0" y="0"/>
                          <a:ext cx="5240655" cy="341630"/>
                        </a:xfrm>
                        <a:prstGeom prst="rect"/>
                        <a:solidFill>
                          <a:srgbClr val="FFFFFF">
                            <a:alpha val="0"/>
                          </a:srgbClr>
                        </a:solidFill>
                      </wps:spPr>
                      <wps:txbx>
                        <w:txbxContent>
                          <w:tbl>
                            <w:tblPr>
                              <w:tblW w:w="8253" w:type="dxa"/>
                              <w:jc w:val="center"/>
                              <w:tblInd w:w="0" w:type="dxa"/>
                              <w:tblLayout w:type="fixed"/>
                              <w:tblCellMar>
                                <w:top w:w="0" w:type="dxa"/>
                                <w:left w:w="108" w:type="dxa"/>
                                <w:bottom w:w="0" w:type="dxa"/>
                                <w:right w:w="108" w:type="dxa"/>
                              </w:tblCellMar>
                            </w:tblPr>
                            <w:tblGrid>
                              <w:gridCol w:w="364"/>
                              <w:gridCol w:w="305"/>
                              <w:gridCol w:w="299"/>
                              <w:gridCol w:w="236"/>
                              <w:gridCol w:w="302"/>
                              <w:gridCol w:w="301"/>
                              <w:gridCol w:w="301"/>
                              <w:gridCol w:w="301"/>
                              <w:gridCol w:w="301"/>
                              <w:gridCol w:w="236"/>
                              <w:gridCol w:w="313"/>
                              <w:gridCol w:w="236"/>
                              <w:gridCol w:w="342"/>
                              <w:gridCol w:w="334"/>
                              <w:gridCol w:w="335"/>
                              <w:gridCol w:w="236"/>
                              <w:gridCol w:w="327"/>
                              <w:gridCol w:w="330"/>
                              <w:gridCol w:w="327"/>
                              <w:gridCol w:w="236"/>
                              <w:gridCol w:w="299"/>
                              <w:gridCol w:w="302"/>
                              <w:gridCol w:w="302"/>
                              <w:gridCol w:w="236"/>
                              <w:gridCol w:w="317"/>
                              <w:gridCol w:w="236"/>
                              <w:gridCol w:w="303"/>
                              <w:gridCol w:w="296"/>
                            </w:tblGrid>
                            <w:tr>
                              <w:trPr>
                                <w:trHeight w:val="60" w:hRule="atLeast"/>
                              </w:trPr>
                              <w:tc>
                                <w:tcPr>
                                  <w:tcW w:w="364" w:type="dxa"/>
                                  <w:tcBorders>
                                    <w:top w:val="dotted" w:sz="4" w:space="0" w:color="000000"/>
                                    <w:left w:val="dotted" w:sz="4" w:space="0" w:color="000000"/>
                                    <w:bottom w:val="dotted" w:sz="4" w:space="0" w:color="000000"/>
                                    <w:right w:val="dotted" w:sz="4" w:space="0" w:color="000000"/>
                                  </w:tcBorders>
                                  <w:vAlign w:val="center"/>
                                </w:tcPr>
                                <w:p>
                                  <w:pPr>
                                    <w:pStyle w:val="Normal"/>
                                    <w:widowControl w:val="false"/>
                                    <w:spacing w:before="0" w:after="0"/>
                                    <w:jc w:val="center"/>
                                    <w:rPr>
                                      <w:sz w:val="16"/>
                                      <w:szCs w:val="12"/>
                                    </w:rPr>
                                  </w:pPr>
                                  <w:r>
                                    <w:rPr>
                                      <w:sz w:val="16"/>
                                      <w:szCs w:val="12"/>
                                    </w:rPr>
                                    <w:t>0</w:t>
                                  </w:r>
                                </w:p>
                              </w:tc>
                              <w:tc>
                                <w:tcPr>
                                  <w:tcW w:w="305" w:type="dxa"/>
                                  <w:tcBorders>
                                    <w:top w:val="dotted" w:sz="4" w:space="0" w:color="000000"/>
                                    <w:left w:val="dotted" w:sz="4" w:space="0" w:color="000000"/>
                                    <w:bottom w:val="dotted" w:sz="4" w:space="0" w:color="000000"/>
                                    <w:right w:val="dotted" w:sz="4" w:space="0" w:color="000000"/>
                                  </w:tcBorders>
                                  <w:vAlign w:val="center"/>
                                </w:tcPr>
                                <w:p>
                                  <w:pPr>
                                    <w:pStyle w:val="Normal"/>
                                    <w:widowControl w:val="false"/>
                                    <w:spacing w:before="0" w:after="0"/>
                                    <w:jc w:val="center"/>
                                    <w:rPr>
                                      <w:sz w:val="16"/>
                                      <w:szCs w:val="12"/>
                                    </w:rPr>
                                  </w:pPr>
                                  <w:r>
                                    <w:rPr>
                                      <w:sz w:val="16"/>
                                      <w:szCs w:val="12"/>
                                    </w:rPr>
                                    <w:t>2</w:t>
                                  </w:r>
                                </w:p>
                              </w:tc>
                              <w:tc>
                                <w:tcPr>
                                  <w:tcW w:w="299" w:type="dxa"/>
                                  <w:tcBorders>
                                    <w:top w:val="dotted" w:sz="4" w:space="0" w:color="000000"/>
                                    <w:left w:val="dotted" w:sz="4" w:space="0" w:color="000000"/>
                                    <w:bottom w:val="dotted" w:sz="4" w:space="0" w:color="000000"/>
                                    <w:right w:val="dotted" w:sz="4" w:space="0" w:color="000000"/>
                                  </w:tcBorders>
                                  <w:vAlign w:val="center"/>
                                </w:tcPr>
                                <w:p>
                                  <w:pPr>
                                    <w:pStyle w:val="Normal"/>
                                    <w:widowControl w:val="false"/>
                                    <w:spacing w:before="0" w:after="0"/>
                                    <w:jc w:val="center"/>
                                    <w:rPr>
                                      <w:sz w:val="16"/>
                                      <w:szCs w:val="12"/>
                                    </w:rPr>
                                  </w:pPr>
                                  <w:r>
                                    <w:rPr>
                                      <w:sz w:val="16"/>
                                      <w:szCs w:val="12"/>
                                    </w:rPr>
                                    <w:t>7</w:t>
                                  </w:r>
                                </w:p>
                              </w:tc>
                              <w:tc>
                                <w:tcPr>
                                  <w:tcW w:w="236" w:type="dxa"/>
                                  <w:tcBorders>
                                    <w:left w:val="dotted" w:sz="4" w:space="0" w:color="000000"/>
                                    <w:right w:val="dotted" w:sz="4" w:space="0" w:color="000000"/>
                                  </w:tcBorders>
                                  <w:vAlign w:val="center"/>
                                </w:tcPr>
                                <w:p>
                                  <w:pPr>
                                    <w:pStyle w:val="Normal"/>
                                    <w:widowControl w:val="false"/>
                                    <w:spacing w:before="0" w:after="0"/>
                                    <w:jc w:val="center"/>
                                    <w:rPr>
                                      <w:sz w:val="16"/>
                                      <w:szCs w:val="12"/>
                                    </w:rPr>
                                  </w:pPr>
                                  <w:r>
                                    <w:rPr>
                                      <w:sz w:val="16"/>
                                      <w:szCs w:val="12"/>
                                    </w:rPr>
                                  </w:r>
                                </w:p>
                              </w:tc>
                              <w:tc>
                                <w:tcPr>
                                  <w:tcW w:w="302" w:type="dxa"/>
                                  <w:tcBorders>
                                    <w:top w:val="dotted" w:sz="4" w:space="0" w:color="000000"/>
                                    <w:left w:val="dotted" w:sz="4" w:space="0" w:color="000000"/>
                                    <w:bottom w:val="dotted" w:sz="4" w:space="0" w:color="000000"/>
                                    <w:right w:val="dotted" w:sz="4" w:space="0" w:color="000000"/>
                                  </w:tcBorders>
                                  <w:vAlign w:val="center"/>
                                </w:tcPr>
                                <w:p>
                                  <w:pPr>
                                    <w:pStyle w:val="Normal"/>
                                    <w:widowControl w:val="false"/>
                                    <w:spacing w:before="0" w:after="0"/>
                                    <w:rPr>
                                      <w:sz w:val="16"/>
                                      <w:szCs w:val="12"/>
                                    </w:rPr>
                                  </w:pPr>
                                  <w:r>
                                    <w:rPr>
                                      <w:sz w:val="16"/>
                                      <w:szCs w:val="12"/>
                                    </w:rPr>
                                    <w:t>5</w:t>
                                  </w:r>
                                </w:p>
                              </w:tc>
                              <w:tc>
                                <w:tcPr>
                                  <w:tcW w:w="301" w:type="dxa"/>
                                  <w:tcBorders>
                                    <w:top w:val="dotted" w:sz="4" w:space="0" w:color="000000"/>
                                    <w:left w:val="dotted" w:sz="4" w:space="0" w:color="000000"/>
                                    <w:bottom w:val="dotted" w:sz="4" w:space="0" w:color="000000"/>
                                    <w:right w:val="dotted" w:sz="4" w:space="0" w:color="000000"/>
                                  </w:tcBorders>
                                  <w:vAlign w:val="center"/>
                                </w:tcPr>
                                <w:p>
                                  <w:pPr>
                                    <w:pStyle w:val="Normal"/>
                                    <w:widowControl w:val="false"/>
                                    <w:spacing w:before="0" w:after="0"/>
                                    <w:jc w:val="center"/>
                                    <w:rPr>
                                      <w:sz w:val="16"/>
                                      <w:szCs w:val="12"/>
                                    </w:rPr>
                                  </w:pPr>
                                  <w:r>
                                    <w:rPr>
                                      <w:sz w:val="16"/>
                                      <w:szCs w:val="12"/>
                                    </w:rPr>
                                    <w:t>7</w:t>
                                  </w:r>
                                </w:p>
                              </w:tc>
                              <w:tc>
                                <w:tcPr>
                                  <w:tcW w:w="301" w:type="dxa"/>
                                  <w:tcBorders>
                                    <w:top w:val="dotted" w:sz="4" w:space="0" w:color="000000"/>
                                    <w:left w:val="dotted" w:sz="4" w:space="0" w:color="000000"/>
                                    <w:bottom w:val="dotted" w:sz="4" w:space="0" w:color="000000"/>
                                    <w:right w:val="dotted" w:sz="4" w:space="0" w:color="000000"/>
                                  </w:tcBorders>
                                  <w:vAlign w:val="center"/>
                                </w:tcPr>
                                <w:p>
                                  <w:pPr>
                                    <w:pStyle w:val="Normal"/>
                                    <w:widowControl w:val="false"/>
                                    <w:spacing w:before="0" w:after="0"/>
                                    <w:jc w:val="center"/>
                                    <w:rPr>
                                      <w:sz w:val="16"/>
                                      <w:szCs w:val="12"/>
                                    </w:rPr>
                                  </w:pPr>
                                  <w:r>
                                    <w:rPr>
                                      <w:sz w:val="16"/>
                                      <w:szCs w:val="12"/>
                                    </w:rPr>
                                    <w:t>5</w:t>
                                  </w:r>
                                </w:p>
                              </w:tc>
                              <w:tc>
                                <w:tcPr>
                                  <w:tcW w:w="301" w:type="dxa"/>
                                  <w:tcBorders>
                                    <w:top w:val="dotted" w:sz="4" w:space="0" w:color="000000"/>
                                    <w:left w:val="dotted" w:sz="4" w:space="0" w:color="000000"/>
                                    <w:bottom w:val="dotted" w:sz="4" w:space="0" w:color="000000"/>
                                    <w:right w:val="dotted" w:sz="4" w:space="0" w:color="000000"/>
                                  </w:tcBorders>
                                  <w:vAlign w:val="center"/>
                                </w:tcPr>
                                <w:p>
                                  <w:pPr>
                                    <w:pStyle w:val="Normal"/>
                                    <w:widowControl w:val="false"/>
                                    <w:spacing w:before="0" w:after="0"/>
                                    <w:jc w:val="center"/>
                                    <w:rPr>
                                      <w:sz w:val="16"/>
                                      <w:szCs w:val="12"/>
                                    </w:rPr>
                                  </w:pPr>
                                  <w:r>
                                    <w:rPr>
                                      <w:sz w:val="16"/>
                                      <w:szCs w:val="12"/>
                                    </w:rPr>
                                    <w:t>9</w:t>
                                  </w:r>
                                </w:p>
                              </w:tc>
                              <w:tc>
                                <w:tcPr>
                                  <w:tcW w:w="301" w:type="dxa"/>
                                  <w:tcBorders>
                                    <w:top w:val="dotted" w:sz="4" w:space="0" w:color="000000"/>
                                    <w:left w:val="dotted" w:sz="4" w:space="0" w:color="000000"/>
                                    <w:bottom w:val="dotted" w:sz="4" w:space="0" w:color="000000"/>
                                    <w:right w:val="dotted" w:sz="4" w:space="0" w:color="000000"/>
                                  </w:tcBorders>
                                  <w:vAlign w:val="center"/>
                                </w:tcPr>
                                <w:p>
                                  <w:pPr>
                                    <w:pStyle w:val="Normal"/>
                                    <w:widowControl w:val="false"/>
                                    <w:spacing w:before="0" w:after="0"/>
                                    <w:jc w:val="center"/>
                                    <w:rPr>
                                      <w:sz w:val="16"/>
                                      <w:szCs w:val="12"/>
                                    </w:rPr>
                                  </w:pPr>
                                  <w:r>
                                    <w:rPr>
                                      <w:sz w:val="16"/>
                                      <w:szCs w:val="12"/>
                                    </w:rPr>
                                    <w:t>2</w:t>
                                  </w:r>
                                </w:p>
                              </w:tc>
                              <w:tc>
                                <w:tcPr>
                                  <w:tcW w:w="236" w:type="dxa"/>
                                  <w:tcBorders>
                                    <w:left w:val="dotted" w:sz="4" w:space="0" w:color="000000"/>
                                    <w:right w:val="dotted" w:sz="4" w:space="0" w:color="000000"/>
                                  </w:tcBorders>
                                  <w:vAlign w:val="center"/>
                                </w:tcPr>
                                <w:p>
                                  <w:pPr>
                                    <w:pStyle w:val="Normal"/>
                                    <w:widowControl w:val="false"/>
                                    <w:spacing w:before="0" w:after="0"/>
                                    <w:jc w:val="center"/>
                                    <w:rPr>
                                      <w:sz w:val="16"/>
                                      <w:szCs w:val="12"/>
                                    </w:rPr>
                                  </w:pPr>
                                  <w:r>
                                    <w:rPr>
                                      <w:sz w:val="16"/>
                                      <w:szCs w:val="12"/>
                                    </w:rPr>
                                  </w:r>
                                </w:p>
                              </w:tc>
                              <w:tc>
                                <w:tcPr>
                                  <w:tcW w:w="313" w:type="dxa"/>
                                  <w:tcBorders>
                                    <w:top w:val="dotted" w:sz="4" w:space="0" w:color="000000"/>
                                    <w:left w:val="dotted" w:sz="4" w:space="0" w:color="000000"/>
                                    <w:bottom w:val="dotted" w:sz="4" w:space="0" w:color="000000"/>
                                    <w:right w:val="dotted" w:sz="4" w:space="0" w:color="000000"/>
                                  </w:tcBorders>
                                  <w:vAlign w:val="center"/>
                                </w:tcPr>
                                <w:p>
                                  <w:pPr>
                                    <w:pStyle w:val="Normal"/>
                                    <w:widowControl w:val="false"/>
                                    <w:spacing w:before="0" w:after="0"/>
                                    <w:jc w:val="center"/>
                                    <w:rPr>
                                      <w:sz w:val="16"/>
                                      <w:szCs w:val="12"/>
                                    </w:rPr>
                                  </w:pPr>
                                  <w:r>
                                    <w:rPr>
                                      <w:sz w:val="16"/>
                                      <w:szCs w:val="12"/>
                                    </w:rPr>
                                    <w:t>T</w:t>
                                  </w:r>
                                </w:p>
                              </w:tc>
                              <w:tc>
                                <w:tcPr>
                                  <w:tcW w:w="236" w:type="dxa"/>
                                  <w:tcBorders>
                                    <w:left w:val="dotted" w:sz="4" w:space="0" w:color="000000"/>
                                    <w:right w:val="dotted" w:sz="4" w:space="0" w:color="000000"/>
                                  </w:tcBorders>
                                  <w:vAlign w:val="center"/>
                                </w:tcPr>
                                <w:p>
                                  <w:pPr>
                                    <w:pStyle w:val="Normal"/>
                                    <w:widowControl w:val="false"/>
                                    <w:spacing w:before="0" w:after="0"/>
                                    <w:jc w:val="center"/>
                                    <w:rPr>
                                      <w:sz w:val="16"/>
                                      <w:szCs w:val="12"/>
                                    </w:rPr>
                                  </w:pPr>
                                  <w:r>
                                    <w:rPr>
                                      <w:sz w:val="16"/>
                                      <w:szCs w:val="12"/>
                                    </w:rPr>
                                  </w:r>
                                </w:p>
                              </w:tc>
                              <w:tc>
                                <w:tcPr>
                                  <w:tcW w:w="342" w:type="dxa"/>
                                  <w:tcBorders>
                                    <w:top w:val="dotted" w:sz="4" w:space="0" w:color="000000"/>
                                    <w:left w:val="dotted" w:sz="4" w:space="0" w:color="000000"/>
                                    <w:bottom w:val="dotted" w:sz="4" w:space="0" w:color="000000"/>
                                    <w:right w:val="dotted" w:sz="4" w:space="0" w:color="000000"/>
                                  </w:tcBorders>
                                  <w:vAlign w:val="center"/>
                                </w:tcPr>
                                <w:p>
                                  <w:pPr>
                                    <w:pStyle w:val="Normal"/>
                                    <w:widowControl w:val="false"/>
                                    <w:spacing w:before="0" w:after="0"/>
                                    <w:jc w:val="center"/>
                                    <w:rPr>
                                      <w:sz w:val="16"/>
                                      <w:szCs w:val="12"/>
                                    </w:rPr>
                                  </w:pPr>
                                  <w:r>
                                    <w:rPr>
                                      <w:sz w:val="16"/>
                                      <w:szCs w:val="12"/>
                                    </w:rPr>
                                    <w:t>E</w:t>
                                  </w:r>
                                </w:p>
                              </w:tc>
                              <w:tc>
                                <w:tcPr>
                                  <w:tcW w:w="334" w:type="dxa"/>
                                  <w:tcBorders>
                                    <w:top w:val="dotted" w:sz="4" w:space="0" w:color="000000"/>
                                    <w:left w:val="dotted" w:sz="4" w:space="0" w:color="000000"/>
                                    <w:bottom w:val="dotted" w:sz="4" w:space="0" w:color="000000"/>
                                    <w:right w:val="dotted" w:sz="4" w:space="0" w:color="000000"/>
                                  </w:tcBorders>
                                  <w:vAlign w:val="center"/>
                                </w:tcPr>
                                <w:p>
                                  <w:pPr>
                                    <w:pStyle w:val="Normal"/>
                                    <w:widowControl w:val="false"/>
                                    <w:spacing w:before="0" w:after="0"/>
                                    <w:jc w:val="center"/>
                                    <w:rPr>
                                      <w:sz w:val="16"/>
                                      <w:szCs w:val="12"/>
                                    </w:rPr>
                                  </w:pPr>
                                  <w:r>
                                    <w:rPr>
                                      <w:sz w:val="16"/>
                                      <w:szCs w:val="12"/>
                                    </w:rPr>
                                    <w:t>T</w:t>
                                  </w:r>
                                </w:p>
                              </w:tc>
                              <w:tc>
                                <w:tcPr>
                                  <w:tcW w:w="335" w:type="dxa"/>
                                  <w:tcBorders>
                                    <w:top w:val="dotted" w:sz="4" w:space="0" w:color="000000"/>
                                    <w:left w:val="dotted" w:sz="4" w:space="0" w:color="000000"/>
                                    <w:bottom w:val="dotted" w:sz="4" w:space="0" w:color="000000"/>
                                    <w:right w:val="dotted" w:sz="4" w:space="0" w:color="000000"/>
                                  </w:tcBorders>
                                  <w:vAlign w:val="center"/>
                                </w:tcPr>
                                <w:p>
                                  <w:pPr>
                                    <w:pStyle w:val="Normal"/>
                                    <w:widowControl w:val="false"/>
                                    <w:spacing w:before="0" w:after="0"/>
                                    <w:jc w:val="center"/>
                                    <w:rPr>
                                      <w:sz w:val="16"/>
                                      <w:szCs w:val="12"/>
                                    </w:rPr>
                                  </w:pPr>
                                  <w:r>
                                    <w:rPr>
                                      <w:sz w:val="16"/>
                                      <w:szCs w:val="12"/>
                                    </w:rPr>
                                    <w:t>U</w:t>
                                  </w:r>
                                </w:p>
                              </w:tc>
                              <w:tc>
                                <w:tcPr>
                                  <w:tcW w:w="236" w:type="dxa"/>
                                  <w:tcBorders>
                                    <w:left w:val="dotted" w:sz="4" w:space="0" w:color="000000"/>
                                    <w:right w:val="dotted" w:sz="4" w:space="0" w:color="000000"/>
                                  </w:tcBorders>
                                  <w:vAlign w:val="center"/>
                                </w:tcPr>
                                <w:p>
                                  <w:pPr>
                                    <w:pStyle w:val="Normal"/>
                                    <w:widowControl w:val="false"/>
                                    <w:spacing w:before="0" w:after="0"/>
                                    <w:jc w:val="center"/>
                                    <w:rPr>
                                      <w:sz w:val="16"/>
                                      <w:szCs w:val="12"/>
                                    </w:rPr>
                                  </w:pPr>
                                  <w:r>
                                    <w:rPr>
                                      <w:sz w:val="16"/>
                                      <w:szCs w:val="12"/>
                                    </w:rPr>
                                  </w:r>
                                </w:p>
                              </w:tc>
                              <w:tc>
                                <w:tcPr>
                                  <w:tcW w:w="327" w:type="dxa"/>
                                  <w:tcBorders>
                                    <w:top w:val="dotted" w:sz="4" w:space="0" w:color="000000"/>
                                    <w:left w:val="dotted" w:sz="4" w:space="0" w:color="000000"/>
                                    <w:bottom w:val="dotted" w:sz="4" w:space="0" w:color="000000"/>
                                    <w:right w:val="dotted" w:sz="4" w:space="0" w:color="000000"/>
                                  </w:tcBorders>
                                  <w:vAlign w:val="center"/>
                                </w:tcPr>
                                <w:p>
                                  <w:pPr>
                                    <w:pStyle w:val="Normal"/>
                                    <w:widowControl w:val="false"/>
                                    <w:spacing w:before="0" w:after="0"/>
                                    <w:jc w:val="center"/>
                                    <w:rPr>
                                      <w:sz w:val="16"/>
                                      <w:szCs w:val="12"/>
                                    </w:rPr>
                                  </w:pPr>
                                  <w:r>
                                    <w:rPr>
                                      <w:sz w:val="16"/>
                                      <w:szCs w:val="12"/>
                                    </w:rPr>
                                    <w:t>D</w:t>
                                  </w:r>
                                </w:p>
                              </w:tc>
                              <w:tc>
                                <w:tcPr>
                                  <w:tcW w:w="330" w:type="dxa"/>
                                  <w:tcBorders>
                                    <w:top w:val="dotted" w:sz="4" w:space="0" w:color="000000"/>
                                    <w:left w:val="dotted" w:sz="4" w:space="0" w:color="000000"/>
                                    <w:bottom w:val="dotted" w:sz="4" w:space="0" w:color="000000"/>
                                    <w:right w:val="dotted" w:sz="4" w:space="0" w:color="000000"/>
                                  </w:tcBorders>
                                  <w:vAlign w:val="center"/>
                                </w:tcPr>
                                <w:p>
                                  <w:pPr>
                                    <w:pStyle w:val="Normal"/>
                                    <w:widowControl w:val="false"/>
                                    <w:spacing w:before="0" w:after="0"/>
                                    <w:jc w:val="center"/>
                                    <w:rPr>
                                      <w:sz w:val="16"/>
                                      <w:szCs w:val="12"/>
                                    </w:rPr>
                                  </w:pPr>
                                  <w:r>
                                    <w:rPr>
                                      <w:sz w:val="16"/>
                                      <w:szCs w:val="12"/>
                                    </w:rPr>
                                    <w:t>C</w:t>
                                  </w:r>
                                </w:p>
                              </w:tc>
                              <w:tc>
                                <w:tcPr>
                                  <w:tcW w:w="327" w:type="dxa"/>
                                  <w:tcBorders>
                                    <w:top w:val="dotted" w:sz="4" w:space="0" w:color="000000"/>
                                    <w:left w:val="dotted" w:sz="4" w:space="0" w:color="000000"/>
                                    <w:bottom w:val="dotted" w:sz="4" w:space="0" w:color="000000"/>
                                    <w:right w:val="dotted" w:sz="4" w:space="0" w:color="000000"/>
                                  </w:tcBorders>
                                  <w:vAlign w:val="center"/>
                                </w:tcPr>
                                <w:p>
                                  <w:pPr>
                                    <w:pStyle w:val="Normal"/>
                                    <w:widowControl w:val="false"/>
                                    <w:spacing w:before="0" w:after="0"/>
                                    <w:jc w:val="center"/>
                                    <w:rPr>
                                      <w:sz w:val="16"/>
                                      <w:szCs w:val="12"/>
                                    </w:rPr>
                                  </w:pPr>
                                  <w:r>
                                    <w:rPr>
                                      <w:sz w:val="16"/>
                                      <w:szCs w:val="12"/>
                                    </w:rPr>
                                    <w:t>E</w:t>
                                  </w:r>
                                </w:p>
                              </w:tc>
                              <w:tc>
                                <w:tcPr>
                                  <w:tcW w:w="236" w:type="dxa"/>
                                  <w:tcBorders>
                                    <w:left w:val="dotted" w:sz="4" w:space="0" w:color="000000"/>
                                    <w:right w:val="dotted" w:sz="4" w:space="0" w:color="000000"/>
                                  </w:tcBorders>
                                  <w:vAlign w:val="center"/>
                                </w:tcPr>
                                <w:p>
                                  <w:pPr>
                                    <w:pStyle w:val="Normal"/>
                                    <w:widowControl w:val="false"/>
                                    <w:spacing w:before="0" w:after="0"/>
                                    <w:jc w:val="center"/>
                                    <w:rPr>
                                      <w:sz w:val="16"/>
                                      <w:szCs w:val="12"/>
                                    </w:rPr>
                                  </w:pPr>
                                  <w:r>
                                    <w:rPr>
                                      <w:sz w:val="16"/>
                                      <w:szCs w:val="12"/>
                                    </w:rPr>
                                  </w:r>
                                </w:p>
                              </w:tc>
                              <w:tc>
                                <w:tcPr>
                                  <w:tcW w:w="299" w:type="dxa"/>
                                  <w:tcBorders>
                                    <w:top w:val="dotted" w:sz="4" w:space="0" w:color="000000"/>
                                    <w:left w:val="dotted" w:sz="4" w:space="0" w:color="000000"/>
                                    <w:bottom w:val="dotted" w:sz="4" w:space="0" w:color="000000"/>
                                    <w:right w:val="dotted" w:sz="4" w:space="0" w:color="000000"/>
                                  </w:tcBorders>
                                  <w:vAlign w:val="center"/>
                                </w:tcPr>
                                <w:p>
                                  <w:pPr>
                                    <w:pStyle w:val="Normal"/>
                                    <w:widowControl w:val="false"/>
                                    <w:spacing w:before="0" w:after="0"/>
                                    <w:jc w:val="center"/>
                                    <w:rPr>
                                      <w:sz w:val="16"/>
                                      <w:szCs w:val="12"/>
                                    </w:rPr>
                                  </w:pPr>
                                  <w:r>
                                    <w:rPr>
                                      <w:sz w:val="16"/>
                                      <w:szCs w:val="12"/>
                                    </w:rPr>
                                  </w:r>
                                </w:p>
                              </w:tc>
                              <w:tc>
                                <w:tcPr>
                                  <w:tcW w:w="302" w:type="dxa"/>
                                  <w:tcBorders>
                                    <w:top w:val="dotted" w:sz="4" w:space="0" w:color="000000"/>
                                    <w:left w:val="dotted" w:sz="4" w:space="0" w:color="000000"/>
                                    <w:bottom w:val="dotted" w:sz="4" w:space="0" w:color="000000"/>
                                    <w:right w:val="dotted" w:sz="4" w:space="0" w:color="000000"/>
                                  </w:tcBorders>
                                  <w:vAlign w:val="center"/>
                                </w:tcPr>
                                <w:p>
                                  <w:pPr>
                                    <w:pStyle w:val="Normal"/>
                                    <w:widowControl w:val="false"/>
                                    <w:spacing w:before="0" w:after="0"/>
                                    <w:jc w:val="center"/>
                                    <w:rPr>
                                      <w:sz w:val="16"/>
                                      <w:szCs w:val="12"/>
                                    </w:rPr>
                                  </w:pPr>
                                  <w:r>
                                    <w:rPr>
                                      <w:sz w:val="16"/>
                                      <w:szCs w:val="12"/>
                                    </w:rPr>
                                  </w:r>
                                </w:p>
                              </w:tc>
                              <w:tc>
                                <w:tcPr>
                                  <w:tcW w:w="302" w:type="dxa"/>
                                  <w:tcBorders>
                                    <w:top w:val="dotted" w:sz="4" w:space="0" w:color="000000"/>
                                    <w:left w:val="dotted" w:sz="4" w:space="0" w:color="000000"/>
                                    <w:bottom w:val="dotted" w:sz="4" w:space="0" w:color="000000"/>
                                    <w:right w:val="dotted" w:sz="4" w:space="0" w:color="000000"/>
                                  </w:tcBorders>
                                  <w:vAlign w:val="center"/>
                                </w:tcPr>
                                <w:p>
                                  <w:pPr>
                                    <w:pStyle w:val="Normal"/>
                                    <w:widowControl w:val="false"/>
                                    <w:spacing w:before="0" w:after="0"/>
                                    <w:rPr>
                                      <w:sz w:val="16"/>
                                      <w:szCs w:val="12"/>
                                    </w:rPr>
                                  </w:pPr>
                                  <w:r>
                                    <w:rPr>
                                      <w:sz w:val="16"/>
                                      <w:szCs w:val="12"/>
                                    </w:rPr>
                                  </w:r>
                                </w:p>
                              </w:tc>
                              <w:tc>
                                <w:tcPr>
                                  <w:tcW w:w="236" w:type="dxa"/>
                                  <w:tcBorders>
                                    <w:left w:val="dotted" w:sz="4" w:space="0" w:color="000000"/>
                                    <w:right w:val="dotted" w:sz="4" w:space="0" w:color="000000"/>
                                  </w:tcBorders>
                                  <w:vAlign w:val="center"/>
                                </w:tcPr>
                                <w:p>
                                  <w:pPr>
                                    <w:pStyle w:val="Normal"/>
                                    <w:widowControl w:val="false"/>
                                    <w:spacing w:before="0" w:after="0"/>
                                    <w:jc w:val="center"/>
                                    <w:rPr>
                                      <w:sz w:val="16"/>
                                      <w:szCs w:val="12"/>
                                    </w:rPr>
                                  </w:pPr>
                                  <w:r>
                                    <w:rPr>
                                      <w:sz w:val="16"/>
                                      <w:szCs w:val="12"/>
                                    </w:rPr>
                                  </w:r>
                                </w:p>
                              </w:tc>
                              <w:tc>
                                <w:tcPr>
                                  <w:tcW w:w="317" w:type="dxa"/>
                                  <w:tcBorders>
                                    <w:top w:val="dotted" w:sz="4" w:space="0" w:color="000000"/>
                                    <w:left w:val="dotted" w:sz="4" w:space="0" w:color="000000"/>
                                    <w:bottom w:val="dotted" w:sz="4" w:space="0" w:color="000000"/>
                                    <w:right w:val="dotted" w:sz="4" w:space="0" w:color="000000"/>
                                  </w:tcBorders>
                                  <w:vAlign w:val="center"/>
                                </w:tcPr>
                                <w:p>
                                  <w:pPr>
                                    <w:pStyle w:val="Normal"/>
                                    <w:widowControl w:val="false"/>
                                    <w:spacing w:before="0" w:after="0"/>
                                    <w:jc w:val="center"/>
                                    <w:rPr>
                                      <w:sz w:val="8"/>
                                      <w:szCs w:val="8"/>
                                    </w:rPr>
                                  </w:pPr>
                                  <w:r>
                                    <w:rPr>
                                      <w:sz w:val="8"/>
                                      <w:szCs w:val="8"/>
                                    </w:rPr>
                                  </w:r>
                                </w:p>
                                <w:p>
                                  <w:pPr>
                                    <w:pStyle w:val="Normal"/>
                                    <w:widowControl w:val="false"/>
                                    <w:spacing w:before="0" w:after="0"/>
                                    <w:jc w:val="center"/>
                                    <w:rPr>
                                      <w:sz w:val="16"/>
                                      <w:szCs w:val="12"/>
                                    </w:rPr>
                                  </w:pPr>
                                  <w:r>
                                    <w:rPr>
                                      <w:sz w:val="16"/>
                                      <w:szCs w:val="12"/>
                                    </w:rPr>
                                    <w:t>B</w:t>
                                  </w:r>
                                </w:p>
                                <w:p>
                                  <w:pPr>
                                    <w:pStyle w:val="Normal"/>
                                    <w:widowControl w:val="false"/>
                                    <w:spacing w:before="0" w:after="0"/>
                                    <w:jc w:val="center"/>
                                    <w:rPr>
                                      <w:sz w:val="8"/>
                                      <w:szCs w:val="8"/>
                                    </w:rPr>
                                  </w:pPr>
                                  <w:r>
                                    <w:rPr>
                                      <w:sz w:val="8"/>
                                      <w:szCs w:val="8"/>
                                    </w:rPr>
                                  </w:r>
                                </w:p>
                              </w:tc>
                              <w:tc>
                                <w:tcPr>
                                  <w:tcW w:w="236" w:type="dxa"/>
                                  <w:tcBorders>
                                    <w:left w:val="dotted" w:sz="4" w:space="0" w:color="000000"/>
                                    <w:bottom w:val="dotted" w:sz="4" w:space="0" w:color="000000"/>
                                    <w:right w:val="dotted" w:sz="4" w:space="0" w:color="000000"/>
                                  </w:tcBorders>
                                  <w:vAlign w:val="center"/>
                                </w:tcPr>
                                <w:p>
                                  <w:pPr>
                                    <w:pStyle w:val="Normal"/>
                                    <w:widowControl w:val="false"/>
                                    <w:spacing w:before="0" w:after="0"/>
                                    <w:jc w:val="center"/>
                                    <w:rPr>
                                      <w:sz w:val="16"/>
                                      <w:szCs w:val="12"/>
                                    </w:rPr>
                                  </w:pPr>
                                  <w:r>
                                    <w:rPr>
                                      <w:sz w:val="16"/>
                                      <w:szCs w:val="12"/>
                                    </w:rPr>
                                  </w:r>
                                </w:p>
                              </w:tc>
                              <w:tc>
                                <w:tcPr>
                                  <w:tcW w:w="303" w:type="dxa"/>
                                  <w:tcBorders>
                                    <w:top w:val="dotted" w:sz="4" w:space="0" w:color="000000"/>
                                    <w:left w:val="dotted" w:sz="4" w:space="0" w:color="000000"/>
                                    <w:bottom w:val="dotted" w:sz="4" w:space="0" w:color="000000"/>
                                    <w:right w:val="dotted" w:sz="4" w:space="0" w:color="000000"/>
                                  </w:tcBorders>
                                  <w:vAlign w:val="center"/>
                                </w:tcPr>
                                <w:p>
                                  <w:pPr>
                                    <w:pStyle w:val="Normal"/>
                                    <w:widowControl w:val="false"/>
                                    <w:spacing w:before="0" w:after="0"/>
                                    <w:jc w:val="center"/>
                                    <w:rPr>
                                      <w:sz w:val="16"/>
                                      <w:szCs w:val="12"/>
                                    </w:rPr>
                                  </w:pPr>
                                  <w:r>
                                    <w:rPr>
                                      <w:sz w:val="16"/>
                                      <w:szCs w:val="12"/>
                                    </w:rPr>
                                    <w:t>0</w:t>
                                  </w:r>
                                </w:p>
                              </w:tc>
                              <w:tc>
                                <w:tcPr>
                                  <w:tcW w:w="296" w:type="dxa"/>
                                  <w:tcBorders>
                                    <w:top w:val="dotted" w:sz="4" w:space="0" w:color="000000"/>
                                    <w:left w:val="dotted" w:sz="4" w:space="0" w:color="000000"/>
                                    <w:bottom w:val="dotted" w:sz="4" w:space="0" w:color="000000"/>
                                    <w:right w:val="dotted" w:sz="4" w:space="0" w:color="000000"/>
                                  </w:tcBorders>
                                  <w:vAlign w:val="center"/>
                                </w:tcPr>
                                <w:p>
                                  <w:pPr>
                                    <w:pStyle w:val="Normal"/>
                                    <w:widowControl w:val="false"/>
                                    <w:spacing w:before="0" w:after="0"/>
                                    <w:jc w:val="center"/>
                                    <w:rPr>
                                      <w:sz w:val="16"/>
                                      <w:szCs w:val="12"/>
                                    </w:rPr>
                                  </w:pPr>
                                  <w:r>
                                    <w:rPr>
                                      <w:sz w:val="16"/>
                                      <w:szCs w:val="12"/>
                                    </w:rPr>
                                    <w:t>1</w:t>
                                  </w:r>
                                </w:p>
                              </w:tc>
                            </w:tr>
                            <w:tr>
                              <w:trPr>
                                <w:trHeight w:val="20" w:hRule="atLeast"/>
                              </w:trPr>
                              <w:tc>
                                <w:tcPr>
                                  <w:tcW w:w="968" w:type="dxa"/>
                                  <w:gridSpan w:val="3"/>
                                  <w:tcBorders>
                                    <w:top w:val="dotted" w:sz="4" w:space="0" w:color="000000"/>
                                    <w:left w:val="dotted" w:sz="4" w:space="0" w:color="000000"/>
                                    <w:bottom w:val="dotted" w:sz="4" w:space="0" w:color="000000"/>
                                    <w:right w:val="dotted" w:sz="4" w:space="0" w:color="000000"/>
                                  </w:tcBorders>
                                  <w:vAlign w:val="center"/>
                                </w:tcPr>
                                <w:p>
                                  <w:pPr>
                                    <w:pStyle w:val="Normal"/>
                                    <w:widowControl w:val="false"/>
                                    <w:spacing w:before="0" w:after="0"/>
                                    <w:jc w:val="center"/>
                                    <w:rPr>
                                      <w:sz w:val="12"/>
                                    </w:rPr>
                                  </w:pPr>
                                  <w:r>
                                    <w:rPr>
                                      <w:sz w:val="12"/>
                                    </w:rPr>
                                    <w:t>N° Société</w:t>
                                  </w:r>
                                </w:p>
                              </w:tc>
                              <w:tc>
                                <w:tcPr>
                                  <w:tcW w:w="236" w:type="dxa"/>
                                  <w:tcBorders>
                                    <w:left w:val="dotted" w:sz="4" w:space="0" w:color="000000"/>
                                    <w:bottom w:val="dotted" w:sz="4" w:space="0" w:color="000000"/>
                                    <w:right w:val="dotted" w:sz="4" w:space="0" w:color="000000"/>
                                  </w:tcBorders>
                                  <w:vAlign w:val="center"/>
                                </w:tcPr>
                                <w:p>
                                  <w:pPr>
                                    <w:pStyle w:val="Normal"/>
                                    <w:widowControl w:val="false"/>
                                    <w:spacing w:before="0" w:after="0"/>
                                    <w:jc w:val="center"/>
                                    <w:rPr>
                                      <w:sz w:val="12"/>
                                    </w:rPr>
                                  </w:pPr>
                                  <w:r>
                                    <w:rPr>
                                      <w:sz w:val="12"/>
                                    </w:rPr>
                                  </w:r>
                                </w:p>
                              </w:tc>
                              <w:tc>
                                <w:tcPr>
                                  <w:tcW w:w="1506" w:type="dxa"/>
                                  <w:gridSpan w:val="5"/>
                                  <w:tcBorders>
                                    <w:top w:val="dotted" w:sz="4" w:space="0" w:color="000000"/>
                                    <w:left w:val="dotted" w:sz="4" w:space="0" w:color="000000"/>
                                    <w:bottom w:val="dotted" w:sz="4" w:space="0" w:color="000000"/>
                                    <w:right w:val="dotted" w:sz="4" w:space="0" w:color="000000"/>
                                  </w:tcBorders>
                                  <w:vAlign w:val="center"/>
                                </w:tcPr>
                                <w:p>
                                  <w:pPr>
                                    <w:pStyle w:val="Normal"/>
                                    <w:widowControl w:val="false"/>
                                    <w:spacing w:before="0" w:after="0"/>
                                    <w:jc w:val="center"/>
                                    <w:rPr>
                                      <w:sz w:val="12"/>
                                    </w:rPr>
                                  </w:pPr>
                                  <w:r>
                                    <w:rPr>
                                      <w:sz w:val="12"/>
                                    </w:rPr>
                                    <w:t>N° d’Affaire</w:t>
                                  </w:r>
                                </w:p>
                              </w:tc>
                              <w:tc>
                                <w:tcPr>
                                  <w:tcW w:w="236" w:type="dxa"/>
                                  <w:tcBorders>
                                    <w:left w:val="dotted" w:sz="4" w:space="0" w:color="000000"/>
                                    <w:bottom w:val="dotted" w:sz="4" w:space="0" w:color="000000"/>
                                    <w:right w:val="dotted" w:sz="4" w:space="0" w:color="000000"/>
                                  </w:tcBorders>
                                  <w:vAlign w:val="center"/>
                                </w:tcPr>
                                <w:p>
                                  <w:pPr>
                                    <w:pStyle w:val="Normal"/>
                                    <w:widowControl w:val="false"/>
                                    <w:spacing w:before="0" w:after="0"/>
                                    <w:jc w:val="center"/>
                                    <w:rPr>
                                      <w:sz w:val="12"/>
                                    </w:rPr>
                                  </w:pPr>
                                  <w:r>
                                    <w:rPr>
                                      <w:sz w:val="12"/>
                                    </w:rPr>
                                  </w:r>
                                </w:p>
                              </w:tc>
                              <w:tc>
                                <w:tcPr>
                                  <w:tcW w:w="313" w:type="dxa"/>
                                  <w:tcBorders>
                                    <w:top w:val="dotted" w:sz="4" w:space="0" w:color="000000"/>
                                    <w:left w:val="dotted" w:sz="4" w:space="0" w:color="000000"/>
                                    <w:bottom w:val="dotted" w:sz="4" w:space="0" w:color="000000"/>
                                    <w:right w:val="dotted" w:sz="4" w:space="0" w:color="000000"/>
                                  </w:tcBorders>
                                  <w:vAlign w:val="center"/>
                                </w:tcPr>
                                <w:p>
                                  <w:pPr>
                                    <w:pStyle w:val="Normal"/>
                                    <w:widowControl w:val="false"/>
                                    <w:spacing w:before="0" w:after="0"/>
                                    <w:jc w:val="center"/>
                                    <w:rPr>
                                      <w:sz w:val="12"/>
                                    </w:rPr>
                                  </w:pPr>
                                  <w:r>
                                    <w:rPr>
                                      <w:sz w:val="12"/>
                                    </w:rPr>
                                    <w:t>T</w:t>
                                  </w:r>
                                </w:p>
                              </w:tc>
                              <w:tc>
                                <w:tcPr>
                                  <w:tcW w:w="236" w:type="dxa"/>
                                  <w:tcBorders>
                                    <w:left w:val="dotted" w:sz="4" w:space="0" w:color="000000"/>
                                    <w:bottom w:val="dotted" w:sz="4" w:space="0" w:color="000000"/>
                                    <w:right w:val="dotted" w:sz="4" w:space="0" w:color="000000"/>
                                  </w:tcBorders>
                                  <w:vAlign w:val="center"/>
                                </w:tcPr>
                                <w:p>
                                  <w:pPr>
                                    <w:pStyle w:val="Normal"/>
                                    <w:widowControl w:val="false"/>
                                    <w:spacing w:before="0" w:after="0"/>
                                    <w:jc w:val="center"/>
                                    <w:rPr>
                                      <w:sz w:val="12"/>
                                    </w:rPr>
                                  </w:pPr>
                                  <w:r>
                                    <w:rPr>
                                      <w:sz w:val="12"/>
                                    </w:rPr>
                                  </w:r>
                                </w:p>
                              </w:tc>
                              <w:tc>
                                <w:tcPr>
                                  <w:tcW w:w="1011" w:type="dxa"/>
                                  <w:gridSpan w:val="3"/>
                                  <w:tcBorders>
                                    <w:top w:val="dotted" w:sz="4" w:space="0" w:color="000000"/>
                                    <w:left w:val="dotted" w:sz="4" w:space="0" w:color="000000"/>
                                    <w:bottom w:val="dotted" w:sz="4" w:space="0" w:color="000000"/>
                                    <w:right w:val="dotted" w:sz="4" w:space="0" w:color="000000"/>
                                  </w:tcBorders>
                                  <w:vAlign w:val="center"/>
                                </w:tcPr>
                                <w:p>
                                  <w:pPr>
                                    <w:pStyle w:val="Normal"/>
                                    <w:widowControl w:val="false"/>
                                    <w:spacing w:before="0" w:after="0"/>
                                    <w:jc w:val="center"/>
                                    <w:rPr>
                                      <w:sz w:val="12"/>
                                    </w:rPr>
                                  </w:pPr>
                                  <w:r>
                                    <w:rPr>
                                      <w:sz w:val="12"/>
                                    </w:rPr>
                                    <w:t>Phase étude</w:t>
                                  </w:r>
                                </w:p>
                              </w:tc>
                              <w:tc>
                                <w:tcPr>
                                  <w:tcW w:w="236" w:type="dxa"/>
                                  <w:tcBorders>
                                    <w:left w:val="dotted" w:sz="4" w:space="0" w:color="000000"/>
                                    <w:bottom w:val="dotted" w:sz="4" w:space="0" w:color="000000"/>
                                    <w:right w:val="dotted" w:sz="4" w:space="0" w:color="000000"/>
                                  </w:tcBorders>
                                  <w:vAlign w:val="center"/>
                                </w:tcPr>
                                <w:p>
                                  <w:pPr>
                                    <w:pStyle w:val="Normal"/>
                                    <w:widowControl w:val="false"/>
                                    <w:spacing w:before="0" w:after="0"/>
                                    <w:jc w:val="center"/>
                                    <w:rPr>
                                      <w:sz w:val="12"/>
                                    </w:rPr>
                                  </w:pPr>
                                  <w:r>
                                    <w:rPr>
                                      <w:sz w:val="12"/>
                                    </w:rPr>
                                  </w:r>
                                </w:p>
                              </w:tc>
                              <w:tc>
                                <w:tcPr>
                                  <w:tcW w:w="984" w:type="dxa"/>
                                  <w:gridSpan w:val="3"/>
                                  <w:tcBorders>
                                    <w:top w:val="dotted" w:sz="4" w:space="0" w:color="000000"/>
                                    <w:left w:val="dotted" w:sz="4" w:space="0" w:color="000000"/>
                                    <w:bottom w:val="dotted" w:sz="4" w:space="0" w:color="000000"/>
                                    <w:right w:val="dotted" w:sz="4" w:space="0" w:color="000000"/>
                                  </w:tcBorders>
                                  <w:vAlign w:val="center"/>
                                </w:tcPr>
                                <w:p>
                                  <w:pPr>
                                    <w:pStyle w:val="Normal"/>
                                    <w:widowControl w:val="false"/>
                                    <w:spacing w:before="0" w:after="0"/>
                                    <w:jc w:val="center"/>
                                    <w:rPr>
                                      <w:sz w:val="12"/>
                                    </w:rPr>
                                  </w:pPr>
                                  <w:r>
                                    <w:rPr>
                                      <w:sz w:val="12"/>
                                    </w:rPr>
                                    <w:t>Sous Phase</w:t>
                                  </w:r>
                                </w:p>
                              </w:tc>
                              <w:tc>
                                <w:tcPr>
                                  <w:tcW w:w="236" w:type="dxa"/>
                                  <w:tcBorders>
                                    <w:left w:val="dotted" w:sz="4" w:space="0" w:color="000000"/>
                                    <w:bottom w:val="dotted" w:sz="4" w:space="0" w:color="000000"/>
                                    <w:right w:val="dotted" w:sz="4" w:space="0" w:color="000000"/>
                                  </w:tcBorders>
                                  <w:vAlign w:val="center"/>
                                </w:tcPr>
                                <w:p>
                                  <w:pPr>
                                    <w:pStyle w:val="Normal"/>
                                    <w:widowControl w:val="false"/>
                                    <w:spacing w:before="0" w:after="0"/>
                                    <w:jc w:val="center"/>
                                    <w:rPr>
                                      <w:sz w:val="12"/>
                                    </w:rPr>
                                  </w:pPr>
                                  <w:r>
                                    <w:rPr>
                                      <w:sz w:val="12"/>
                                    </w:rPr>
                                  </w:r>
                                </w:p>
                              </w:tc>
                              <w:tc>
                                <w:tcPr>
                                  <w:tcW w:w="903" w:type="dxa"/>
                                  <w:gridSpan w:val="3"/>
                                  <w:tcBorders>
                                    <w:top w:val="dotted" w:sz="4" w:space="0" w:color="000000"/>
                                    <w:left w:val="dotted" w:sz="4" w:space="0" w:color="000000"/>
                                    <w:bottom w:val="dotted" w:sz="4" w:space="0" w:color="000000"/>
                                    <w:right w:val="dotted" w:sz="4" w:space="0" w:color="000000"/>
                                  </w:tcBorders>
                                  <w:vAlign w:val="center"/>
                                </w:tcPr>
                                <w:p>
                                  <w:pPr>
                                    <w:pStyle w:val="Normal"/>
                                    <w:widowControl w:val="false"/>
                                    <w:spacing w:before="0" w:after="0"/>
                                    <w:jc w:val="center"/>
                                    <w:rPr>
                                      <w:sz w:val="12"/>
                                    </w:rPr>
                                  </w:pPr>
                                  <w:r>
                                    <w:rPr>
                                      <w:sz w:val="12"/>
                                    </w:rPr>
                                    <w:t>N° de Pièce</w:t>
                                  </w:r>
                                </w:p>
                              </w:tc>
                              <w:tc>
                                <w:tcPr>
                                  <w:tcW w:w="236" w:type="dxa"/>
                                  <w:tcBorders>
                                    <w:left w:val="dotted" w:sz="4" w:space="0" w:color="000000"/>
                                    <w:bottom w:val="dotted" w:sz="4" w:space="0" w:color="000000"/>
                                    <w:right w:val="dotted" w:sz="4" w:space="0" w:color="000000"/>
                                  </w:tcBorders>
                                  <w:vAlign w:val="center"/>
                                </w:tcPr>
                                <w:p>
                                  <w:pPr>
                                    <w:pStyle w:val="Normal"/>
                                    <w:widowControl w:val="false"/>
                                    <w:spacing w:before="0" w:after="0"/>
                                    <w:jc w:val="center"/>
                                    <w:rPr>
                                      <w:sz w:val="12"/>
                                    </w:rPr>
                                  </w:pPr>
                                  <w:r>
                                    <w:rPr>
                                      <w:sz w:val="12"/>
                                    </w:rPr>
                                  </w:r>
                                </w:p>
                              </w:tc>
                              <w:tc>
                                <w:tcPr>
                                  <w:tcW w:w="1152" w:type="dxa"/>
                                  <w:gridSpan w:val="4"/>
                                  <w:tcBorders>
                                    <w:top w:val="dotted" w:sz="4" w:space="0" w:color="000000"/>
                                    <w:left w:val="dotted" w:sz="4" w:space="0" w:color="000000"/>
                                    <w:bottom w:val="dotted" w:sz="4" w:space="0" w:color="000000"/>
                                    <w:right w:val="dotted" w:sz="4" w:space="0" w:color="000000"/>
                                  </w:tcBorders>
                                  <w:vAlign w:val="center"/>
                                </w:tcPr>
                                <w:p>
                                  <w:pPr>
                                    <w:pStyle w:val="Normal"/>
                                    <w:widowControl w:val="false"/>
                                    <w:spacing w:before="0" w:after="0"/>
                                    <w:jc w:val="center"/>
                                    <w:rPr>
                                      <w:sz w:val="12"/>
                                    </w:rPr>
                                  </w:pPr>
                                  <w:r>
                                    <w:rPr>
                                      <w:sz w:val="12"/>
                                    </w:rPr>
                                    <w:t>Indice</w:t>
                                  </w:r>
                                </w:p>
                              </w:tc>
                            </w:tr>
                          </w:tbl>
                        </w:txbxContent>
                      </wps:txbx>
                      <wps:bodyPr anchor="t" lIns="0" tIns="0" rIns="0" bIns="0">
                        <a:noAutofit/>
                      </wps:bodyPr>
                    </wps:wsp>
                  </a:graphicData>
                </a:graphic>
              </wp:anchor>
            </w:drawing>
          </mc:Choice>
          <mc:Fallback>
            <w:pict>
              <v:rect style="position:absolute;rotation:-0;width:412.65pt;height:26.9pt;mso-wrap-distance-left:7.05pt;mso-wrap-distance-right:7.05pt;mso-wrap-distance-top:0pt;mso-wrap-distance-bottom:0pt;margin-top:6.45pt;mso-position-vertical-relative:text;margin-left:55.35pt;mso-position-horizontal:center;mso-position-horizontal-relative:margin">
                <v:textbox inset="0in,0in,0in,0in">
                  <w:txbxContent>
                    <w:tbl>
                      <w:tblPr>
                        <w:tblW w:w="8253" w:type="dxa"/>
                        <w:jc w:val="center"/>
                        <w:tblInd w:w="0" w:type="dxa"/>
                        <w:tblLayout w:type="fixed"/>
                        <w:tblCellMar>
                          <w:top w:w="0" w:type="dxa"/>
                          <w:left w:w="108" w:type="dxa"/>
                          <w:bottom w:w="0" w:type="dxa"/>
                          <w:right w:w="108" w:type="dxa"/>
                        </w:tblCellMar>
                      </w:tblPr>
                      <w:tblGrid>
                        <w:gridCol w:w="364"/>
                        <w:gridCol w:w="305"/>
                        <w:gridCol w:w="299"/>
                        <w:gridCol w:w="236"/>
                        <w:gridCol w:w="302"/>
                        <w:gridCol w:w="301"/>
                        <w:gridCol w:w="301"/>
                        <w:gridCol w:w="301"/>
                        <w:gridCol w:w="301"/>
                        <w:gridCol w:w="236"/>
                        <w:gridCol w:w="313"/>
                        <w:gridCol w:w="236"/>
                        <w:gridCol w:w="342"/>
                        <w:gridCol w:w="334"/>
                        <w:gridCol w:w="335"/>
                        <w:gridCol w:w="236"/>
                        <w:gridCol w:w="327"/>
                        <w:gridCol w:w="330"/>
                        <w:gridCol w:w="327"/>
                        <w:gridCol w:w="236"/>
                        <w:gridCol w:w="299"/>
                        <w:gridCol w:w="302"/>
                        <w:gridCol w:w="302"/>
                        <w:gridCol w:w="236"/>
                        <w:gridCol w:w="317"/>
                        <w:gridCol w:w="236"/>
                        <w:gridCol w:w="303"/>
                        <w:gridCol w:w="296"/>
                      </w:tblGrid>
                      <w:tr>
                        <w:trPr>
                          <w:trHeight w:val="60" w:hRule="atLeast"/>
                        </w:trPr>
                        <w:tc>
                          <w:tcPr>
                            <w:tcW w:w="364" w:type="dxa"/>
                            <w:tcBorders>
                              <w:top w:val="dotted" w:sz="4" w:space="0" w:color="000000"/>
                              <w:left w:val="dotted" w:sz="4" w:space="0" w:color="000000"/>
                              <w:bottom w:val="dotted" w:sz="4" w:space="0" w:color="000000"/>
                              <w:right w:val="dotted" w:sz="4" w:space="0" w:color="000000"/>
                            </w:tcBorders>
                            <w:vAlign w:val="center"/>
                          </w:tcPr>
                          <w:p>
                            <w:pPr>
                              <w:pStyle w:val="Normal"/>
                              <w:widowControl w:val="false"/>
                              <w:spacing w:before="0" w:after="0"/>
                              <w:jc w:val="center"/>
                              <w:rPr>
                                <w:sz w:val="16"/>
                                <w:szCs w:val="12"/>
                              </w:rPr>
                            </w:pPr>
                            <w:r>
                              <w:rPr>
                                <w:sz w:val="16"/>
                                <w:szCs w:val="12"/>
                              </w:rPr>
                              <w:t>0</w:t>
                            </w:r>
                          </w:p>
                        </w:tc>
                        <w:tc>
                          <w:tcPr>
                            <w:tcW w:w="305" w:type="dxa"/>
                            <w:tcBorders>
                              <w:top w:val="dotted" w:sz="4" w:space="0" w:color="000000"/>
                              <w:left w:val="dotted" w:sz="4" w:space="0" w:color="000000"/>
                              <w:bottom w:val="dotted" w:sz="4" w:space="0" w:color="000000"/>
                              <w:right w:val="dotted" w:sz="4" w:space="0" w:color="000000"/>
                            </w:tcBorders>
                            <w:vAlign w:val="center"/>
                          </w:tcPr>
                          <w:p>
                            <w:pPr>
                              <w:pStyle w:val="Normal"/>
                              <w:widowControl w:val="false"/>
                              <w:spacing w:before="0" w:after="0"/>
                              <w:jc w:val="center"/>
                              <w:rPr>
                                <w:sz w:val="16"/>
                                <w:szCs w:val="12"/>
                              </w:rPr>
                            </w:pPr>
                            <w:r>
                              <w:rPr>
                                <w:sz w:val="16"/>
                                <w:szCs w:val="12"/>
                              </w:rPr>
                              <w:t>2</w:t>
                            </w:r>
                          </w:p>
                        </w:tc>
                        <w:tc>
                          <w:tcPr>
                            <w:tcW w:w="299" w:type="dxa"/>
                            <w:tcBorders>
                              <w:top w:val="dotted" w:sz="4" w:space="0" w:color="000000"/>
                              <w:left w:val="dotted" w:sz="4" w:space="0" w:color="000000"/>
                              <w:bottom w:val="dotted" w:sz="4" w:space="0" w:color="000000"/>
                              <w:right w:val="dotted" w:sz="4" w:space="0" w:color="000000"/>
                            </w:tcBorders>
                            <w:vAlign w:val="center"/>
                          </w:tcPr>
                          <w:p>
                            <w:pPr>
                              <w:pStyle w:val="Normal"/>
                              <w:widowControl w:val="false"/>
                              <w:spacing w:before="0" w:after="0"/>
                              <w:jc w:val="center"/>
                              <w:rPr>
                                <w:sz w:val="16"/>
                                <w:szCs w:val="12"/>
                              </w:rPr>
                            </w:pPr>
                            <w:r>
                              <w:rPr>
                                <w:sz w:val="16"/>
                                <w:szCs w:val="12"/>
                              </w:rPr>
                              <w:t>7</w:t>
                            </w:r>
                          </w:p>
                        </w:tc>
                        <w:tc>
                          <w:tcPr>
                            <w:tcW w:w="236" w:type="dxa"/>
                            <w:tcBorders>
                              <w:left w:val="dotted" w:sz="4" w:space="0" w:color="000000"/>
                              <w:right w:val="dotted" w:sz="4" w:space="0" w:color="000000"/>
                            </w:tcBorders>
                            <w:vAlign w:val="center"/>
                          </w:tcPr>
                          <w:p>
                            <w:pPr>
                              <w:pStyle w:val="Normal"/>
                              <w:widowControl w:val="false"/>
                              <w:spacing w:before="0" w:after="0"/>
                              <w:jc w:val="center"/>
                              <w:rPr>
                                <w:sz w:val="16"/>
                                <w:szCs w:val="12"/>
                              </w:rPr>
                            </w:pPr>
                            <w:r>
                              <w:rPr>
                                <w:sz w:val="16"/>
                                <w:szCs w:val="12"/>
                              </w:rPr>
                            </w:r>
                          </w:p>
                        </w:tc>
                        <w:tc>
                          <w:tcPr>
                            <w:tcW w:w="302" w:type="dxa"/>
                            <w:tcBorders>
                              <w:top w:val="dotted" w:sz="4" w:space="0" w:color="000000"/>
                              <w:left w:val="dotted" w:sz="4" w:space="0" w:color="000000"/>
                              <w:bottom w:val="dotted" w:sz="4" w:space="0" w:color="000000"/>
                              <w:right w:val="dotted" w:sz="4" w:space="0" w:color="000000"/>
                            </w:tcBorders>
                            <w:vAlign w:val="center"/>
                          </w:tcPr>
                          <w:p>
                            <w:pPr>
                              <w:pStyle w:val="Normal"/>
                              <w:widowControl w:val="false"/>
                              <w:spacing w:before="0" w:after="0"/>
                              <w:rPr>
                                <w:sz w:val="16"/>
                                <w:szCs w:val="12"/>
                              </w:rPr>
                            </w:pPr>
                            <w:r>
                              <w:rPr>
                                <w:sz w:val="16"/>
                                <w:szCs w:val="12"/>
                              </w:rPr>
                              <w:t>5</w:t>
                            </w:r>
                          </w:p>
                        </w:tc>
                        <w:tc>
                          <w:tcPr>
                            <w:tcW w:w="301" w:type="dxa"/>
                            <w:tcBorders>
                              <w:top w:val="dotted" w:sz="4" w:space="0" w:color="000000"/>
                              <w:left w:val="dotted" w:sz="4" w:space="0" w:color="000000"/>
                              <w:bottom w:val="dotted" w:sz="4" w:space="0" w:color="000000"/>
                              <w:right w:val="dotted" w:sz="4" w:space="0" w:color="000000"/>
                            </w:tcBorders>
                            <w:vAlign w:val="center"/>
                          </w:tcPr>
                          <w:p>
                            <w:pPr>
                              <w:pStyle w:val="Normal"/>
                              <w:widowControl w:val="false"/>
                              <w:spacing w:before="0" w:after="0"/>
                              <w:jc w:val="center"/>
                              <w:rPr>
                                <w:sz w:val="16"/>
                                <w:szCs w:val="12"/>
                              </w:rPr>
                            </w:pPr>
                            <w:r>
                              <w:rPr>
                                <w:sz w:val="16"/>
                                <w:szCs w:val="12"/>
                              </w:rPr>
                              <w:t>7</w:t>
                            </w:r>
                          </w:p>
                        </w:tc>
                        <w:tc>
                          <w:tcPr>
                            <w:tcW w:w="301" w:type="dxa"/>
                            <w:tcBorders>
                              <w:top w:val="dotted" w:sz="4" w:space="0" w:color="000000"/>
                              <w:left w:val="dotted" w:sz="4" w:space="0" w:color="000000"/>
                              <w:bottom w:val="dotted" w:sz="4" w:space="0" w:color="000000"/>
                              <w:right w:val="dotted" w:sz="4" w:space="0" w:color="000000"/>
                            </w:tcBorders>
                            <w:vAlign w:val="center"/>
                          </w:tcPr>
                          <w:p>
                            <w:pPr>
                              <w:pStyle w:val="Normal"/>
                              <w:widowControl w:val="false"/>
                              <w:spacing w:before="0" w:after="0"/>
                              <w:jc w:val="center"/>
                              <w:rPr>
                                <w:sz w:val="16"/>
                                <w:szCs w:val="12"/>
                              </w:rPr>
                            </w:pPr>
                            <w:r>
                              <w:rPr>
                                <w:sz w:val="16"/>
                                <w:szCs w:val="12"/>
                              </w:rPr>
                              <w:t>5</w:t>
                            </w:r>
                          </w:p>
                        </w:tc>
                        <w:tc>
                          <w:tcPr>
                            <w:tcW w:w="301" w:type="dxa"/>
                            <w:tcBorders>
                              <w:top w:val="dotted" w:sz="4" w:space="0" w:color="000000"/>
                              <w:left w:val="dotted" w:sz="4" w:space="0" w:color="000000"/>
                              <w:bottom w:val="dotted" w:sz="4" w:space="0" w:color="000000"/>
                              <w:right w:val="dotted" w:sz="4" w:space="0" w:color="000000"/>
                            </w:tcBorders>
                            <w:vAlign w:val="center"/>
                          </w:tcPr>
                          <w:p>
                            <w:pPr>
                              <w:pStyle w:val="Normal"/>
                              <w:widowControl w:val="false"/>
                              <w:spacing w:before="0" w:after="0"/>
                              <w:jc w:val="center"/>
                              <w:rPr>
                                <w:sz w:val="16"/>
                                <w:szCs w:val="12"/>
                              </w:rPr>
                            </w:pPr>
                            <w:r>
                              <w:rPr>
                                <w:sz w:val="16"/>
                                <w:szCs w:val="12"/>
                              </w:rPr>
                              <w:t>9</w:t>
                            </w:r>
                          </w:p>
                        </w:tc>
                        <w:tc>
                          <w:tcPr>
                            <w:tcW w:w="301" w:type="dxa"/>
                            <w:tcBorders>
                              <w:top w:val="dotted" w:sz="4" w:space="0" w:color="000000"/>
                              <w:left w:val="dotted" w:sz="4" w:space="0" w:color="000000"/>
                              <w:bottom w:val="dotted" w:sz="4" w:space="0" w:color="000000"/>
                              <w:right w:val="dotted" w:sz="4" w:space="0" w:color="000000"/>
                            </w:tcBorders>
                            <w:vAlign w:val="center"/>
                          </w:tcPr>
                          <w:p>
                            <w:pPr>
                              <w:pStyle w:val="Normal"/>
                              <w:widowControl w:val="false"/>
                              <w:spacing w:before="0" w:after="0"/>
                              <w:jc w:val="center"/>
                              <w:rPr>
                                <w:sz w:val="16"/>
                                <w:szCs w:val="12"/>
                              </w:rPr>
                            </w:pPr>
                            <w:r>
                              <w:rPr>
                                <w:sz w:val="16"/>
                                <w:szCs w:val="12"/>
                              </w:rPr>
                              <w:t>2</w:t>
                            </w:r>
                          </w:p>
                        </w:tc>
                        <w:tc>
                          <w:tcPr>
                            <w:tcW w:w="236" w:type="dxa"/>
                            <w:tcBorders>
                              <w:left w:val="dotted" w:sz="4" w:space="0" w:color="000000"/>
                              <w:right w:val="dotted" w:sz="4" w:space="0" w:color="000000"/>
                            </w:tcBorders>
                            <w:vAlign w:val="center"/>
                          </w:tcPr>
                          <w:p>
                            <w:pPr>
                              <w:pStyle w:val="Normal"/>
                              <w:widowControl w:val="false"/>
                              <w:spacing w:before="0" w:after="0"/>
                              <w:jc w:val="center"/>
                              <w:rPr>
                                <w:sz w:val="16"/>
                                <w:szCs w:val="12"/>
                              </w:rPr>
                            </w:pPr>
                            <w:r>
                              <w:rPr>
                                <w:sz w:val="16"/>
                                <w:szCs w:val="12"/>
                              </w:rPr>
                            </w:r>
                          </w:p>
                        </w:tc>
                        <w:tc>
                          <w:tcPr>
                            <w:tcW w:w="313" w:type="dxa"/>
                            <w:tcBorders>
                              <w:top w:val="dotted" w:sz="4" w:space="0" w:color="000000"/>
                              <w:left w:val="dotted" w:sz="4" w:space="0" w:color="000000"/>
                              <w:bottom w:val="dotted" w:sz="4" w:space="0" w:color="000000"/>
                              <w:right w:val="dotted" w:sz="4" w:space="0" w:color="000000"/>
                            </w:tcBorders>
                            <w:vAlign w:val="center"/>
                          </w:tcPr>
                          <w:p>
                            <w:pPr>
                              <w:pStyle w:val="Normal"/>
                              <w:widowControl w:val="false"/>
                              <w:spacing w:before="0" w:after="0"/>
                              <w:jc w:val="center"/>
                              <w:rPr>
                                <w:sz w:val="16"/>
                                <w:szCs w:val="12"/>
                              </w:rPr>
                            </w:pPr>
                            <w:r>
                              <w:rPr>
                                <w:sz w:val="16"/>
                                <w:szCs w:val="12"/>
                              </w:rPr>
                              <w:t>T</w:t>
                            </w:r>
                          </w:p>
                        </w:tc>
                        <w:tc>
                          <w:tcPr>
                            <w:tcW w:w="236" w:type="dxa"/>
                            <w:tcBorders>
                              <w:left w:val="dotted" w:sz="4" w:space="0" w:color="000000"/>
                              <w:right w:val="dotted" w:sz="4" w:space="0" w:color="000000"/>
                            </w:tcBorders>
                            <w:vAlign w:val="center"/>
                          </w:tcPr>
                          <w:p>
                            <w:pPr>
                              <w:pStyle w:val="Normal"/>
                              <w:widowControl w:val="false"/>
                              <w:spacing w:before="0" w:after="0"/>
                              <w:jc w:val="center"/>
                              <w:rPr>
                                <w:sz w:val="16"/>
                                <w:szCs w:val="12"/>
                              </w:rPr>
                            </w:pPr>
                            <w:r>
                              <w:rPr>
                                <w:sz w:val="16"/>
                                <w:szCs w:val="12"/>
                              </w:rPr>
                            </w:r>
                          </w:p>
                        </w:tc>
                        <w:tc>
                          <w:tcPr>
                            <w:tcW w:w="342" w:type="dxa"/>
                            <w:tcBorders>
                              <w:top w:val="dotted" w:sz="4" w:space="0" w:color="000000"/>
                              <w:left w:val="dotted" w:sz="4" w:space="0" w:color="000000"/>
                              <w:bottom w:val="dotted" w:sz="4" w:space="0" w:color="000000"/>
                              <w:right w:val="dotted" w:sz="4" w:space="0" w:color="000000"/>
                            </w:tcBorders>
                            <w:vAlign w:val="center"/>
                          </w:tcPr>
                          <w:p>
                            <w:pPr>
                              <w:pStyle w:val="Normal"/>
                              <w:widowControl w:val="false"/>
                              <w:spacing w:before="0" w:after="0"/>
                              <w:jc w:val="center"/>
                              <w:rPr>
                                <w:sz w:val="16"/>
                                <w:szCs w:val="12"/>
                              </w:rPr>
                            </w:pPr>
                            <w:r>
                              <w:rPr>
                                <w:sz w:val="16"/>
                                <w:szCs w:val="12"/>
                              </w:rPr>
                              <w:t>E</w:t>
                            </w:r>
                          </w:p>
                        </w:tc>
                        <w:tc>
                          <w:tcPr>
                            <w:tcW w:w="334" w:type="dxa"/>
                            <w:tcBorders>
                              <w:top w:val="dotted" w:sz="4" w:space="0" w:color="000000"/>
                              <w:left w:val="dotted" w:sz="4" w:space="0" w:color="000000"/>
                              <w:bottom w:val="dotted" w:sz="4" w:space="0" w:color="000000"/>
                              <w:right w:val="dotted" w:sz="4" w:space="0" w:color="000000"/>
                            </w:tcBorders>
                            <w:vAlign w:val="center"/>
                          </w:tcPr>
                          <w:p>
                            <w:pPr>
                              <w:pStyle w:val="Normal"/>
                              <w:widowControl w:val="false"/>
                              <w:spacing w:before="0" w:after="0"/>
                              <w:jc w:val="center"/>
                              <w:rPr>
                                <w:sz w:val="16"/>
                                <w:szCs w:val="12"/>
                              </w:rPr>
                            </w:pPr>
                            <w:r>
                              <w:rPr>
                                <w:sz w:val="16"/>
                                <w:szCs w:val="12"/>
                              </w:rPr>
                              <w:t>T</w:t>
                            </w:r>
                          </w:p>
                        </w:tc>
                        <w:tc>
                          <w:tcPr>
                            <w:tcW w:w="335" w:type="dxa"/>
                            <w:tcBorders>
                              <w:top w:val="dotted" w:sz="4" w:space="0" w:color="000000"/>
                              <w:left w:val="dotted" w:sz="4" w:space="0" w:color="000000"/>
                              <w:bottom w:val="dotted" w:sz="4" w:space="0" w:color="000000"/>
                              <w:right w:val="dotted" w:sz="4" w:space="0" w:color="000000"/>
                            </w:tcBorders>
                            <w:vAlign w:val="center"/>
                          </w:tcPr>
                          <w:p>
                            <w:pPr>
                              <w:pStyle w:val="Normal"/>
                              <w:widowControl w:val="false"/>
                              <w:spacing w:before="0" w:after="0"/>
                              <w:jc w:val="center"/>
                              <w:rPr>
                                <w:sz w:val="16"/>
                                <w:szCs w:val="12"/>
                              </w:rPr>
                            </w:pPr>
                            <w:r>
                              <w:rPr>
                                <w:sz w:val="16"/>
                                <w:szCs w:val="12"/>
                              </w:rPr>
                              <w:t>U</w:t>
                            </w:r>
                          </w:p>
                        </w:tc>
                        <w:tc>
                          <w:tcPr>
                            <w:tcW w:w="236" w:type="dxa"/>
                            <w:tcBorders>
                              <w:left w:val="dotted" w:sz="4" w:space="0" w:color="000000"/>
                              <w:right w:val="dotted" w:sz="4" w:space="0" w:color="000000"/>
                            </w:tcBorders>
                            <w:vAlign w:val="center"/>
                          </w:tcPr>
                          <w:p>
                            <w:pPr>
                              <w:pStyle w:val="Normal"/>
                              <w:widowControl w:val="false"/>
                              <w:spacing w:before="0" w:after="0"/>
                              <w:jc w:val="center"/>
                              <w:rPr>
                                <w:sz w:val="16"/>
                                <w:szCs w:val="12"/>
                              </w:rPr>
                            </w:pPr>
                            <w:r>
                              <w:rPr>
                                <w:sz w:val="16"/>
                                <w:szCs w:val="12"/>
                              </w:rPr>
                            </w:r>
                          </w:p>
                        </w:tc>
                        <w:tc>
                          <w:tcPr>
                            <w:tcW w:w="327" w:type="dxa"/>
                            <w:tcBorders>
                              <w:top w:val="dotted" w:sz="4" w:space="0" w:color="000000"/>
                              <w:left w:val="dotted" w:sz="4" w:space="0" w:color="000000"/>
                              <w:bottom w:val="dotted" w:sz="4" w:space="0" w:color="000000"/>
                              <w:right w:val="dotted" w:sz="4" w:space="0" w:color="000000"/>
                            </w:tcBorders>
                            <w:vAlign w:val="center"/>
                          </w:tcPr>
                          <w:p>
                            <w:pPr>
                              <w:pStyle w:val="Normal"/>
                              <w:widowControl w:val="false"/>
                              <w:spacing w:before="0" w:after="0"/>
                              <w:jc w:val="center"/>
                              <w:rPr>
                                <w:sz w:val="16"/>
                                <w:szCs w:val="12"/>
                              </w:rPr>
                            </w:pPr>
                            <w:r>
                              <w:rPr>
                                <w:sz w:val="16"/>
                                <w:szCs w:val="12"/>
                              </w:rPr>
                              <w:t>D</w:t>
                            </w:r>
                          </w:p>
                        </w:tc>
                        <w:tc>
                          <w:tcPr>
                            <w:tcW w:w="330" w:type="dxa"/>
                            <w:tcBorders>
                              <w:top w:val="dotted" w:sz="4" w:space="0" w:color="000000"/>
                              <w:left w:val="dotted" w:sz="4" w:space="0" w:color="000000"/>
                              <w:bottom w:val="dotted" w:sz="4" w:space="0" w:color="000000"/>
                              <w:right w:val="dotted" w:sz="4" w:space="0" w:color="000000"/>
                            </w:tcBorders>
                            <w:vAlign w:val="center"/>
                          </w:tcPr>
                          <w:p>
                            <w:pPr>
                              <w:pStyle w:val="Normal"/>
                              <w:widowControl w:val="false"/>
                              <w:spacing w:before="0" w:after="0"/>
                              <w:jc w:val="center"/>
                              <w:rPr>
                                <w:sz w:val="16"/>
                                <w:szCs w:val="12"/>
                              </w:rPr>
                            </w:pPr>
                            <w:r>
                              <w:rPr>
                                <w:sz w:val="16"/>
                                <w:szCs w:val="12"/>
                              </w:rPr>
                              <w:t>C</w:t>
                            </w:r>
                          </w:p>
                        </w:tc>
                        <w:tc>
                          <w:tcPr>
                            <w:tcW w:w="327" w:type="dxa"/>
                            <w:tcBorders>
                              <w:top w:val="dotted" w:sz="4" w:space="0" w:color="000000"/>
                              <w:left w:val="dotted" w:sz="4" w:space="0" w:color="000000"/>
                              <w:bottom w:val="dotted" w:sz="4" w:space="0" w:color="000000"/>
                              <w:right w:val="dotted" w:sz="4" w:space="0" w:color="000000"/>
                            </w:tcBorders>
                            <w:vAlign w:val="center"/>
                          </w:tcPr>
                          <w:p>
                            <w:pPr>
                              <w:pStyle w:val="Normal"/>
                              <w:widowControl w:val="false"/>
                              <w:spacing w:before="0" w:after="0"/>
                              <w:jc w:val="center"/>
                              <w:rPr>
                                <w:sz w:val="16"/>
                                <w:szCs w:val="12"/>
                              </w:rPr>
                            </w:pPr>
                            <w:r>
                              <w:rPr>
                                <w:sz w:val="16"/>
                                <w:szCs w:val="12"/>
                              </w:rPr>
                              <w:t>E</w:t>
                            </w:r>
                          </w:p>
                        </w:tc>
                        <w:tc>
                          <w:tcPr>
                            <w:tcW w:w="236" w:type="dxa"/>
                            <w:tcBorders>
                              <w:left w:val="dotted" w:sz="4" w:space="0" w:color="000000"/>
                              <w:right w:val="dotted" w:sz="4" w:space="0" w:color="000000"/>
                            </w:tcBorders>
                            <w:vAlign w:val="center"/>
                          </w:tcPr>
                          <w:p>
                            <w:pPr>
                              <w:pStyle w:val="Normal"/>
                              <w:widowControl w:val="false"/>
                              <w:spacing w:before="0" w:after="0"/>
                              <w:jc w:val="center"/>
                              <w:rPr>
                                <w:sz w:val="16"/>
                                <w:szCs w:val="12"/>
                              </w:rPr>
                            </w:pPr>
                            <w:r>
                              <w:rPr>
                                <w:sz w:val="16"/>
                                <w:szCs w:val="12"/>
                              </w:rPr>
                            </w:r>
                          </w:p>
                        </w:tc>
                        <w:tc>
                          <w:tcPr>
                            <w:tcW w:w="299" w:type="dxa"/>
                            <w:tcBorders>
                              <w:top w:val="dotted" w:sz="4" w:space="0" w:color="000000"/>
                              <w:left w:val="dotted" w:sz="4" w:space="0" w:color="000000"/>
                              <w:bottom w:val="dotted" w:sz="4" w:space="0" w:color="000000"/>
                              <w:right w:val="dotted" w:sz="4" w:space="0" w:color="000000"/>
                            </w:tcBorders>
                            <w:vAlign w:val="center"/>
                          </w:tcPr>
                          <w:p>
                            <w:pPr>
                              <w:pStyle w:val="Normal"/>
                              <w:widowControl w:val="false"/>
                              <w:spacing w:before="0" w:after="0"/>
                              <w:jc w:val="center"/>
                              <w:rPr>
                                <w:sz w:val="16"/>
                                <w:szCs w:val="12"/>
                              </w:rPr>
                            </w:pPr>
                            <w:r>
                              <w:rPr>
                                <w:sz w:val="16"/>
                                <w:szCs w:val="12"/>
                              </w:rPr>
                            </w:r>
                          </w:p>
                        </w:tc>
                        <w:tc>
                          <w:tcPr>
                            <w:tcW w:w="302" w:type="dxa"/>
                            <w:tcBorders>
                              <w:top w:val="dotted" w:sz="4" w:space="0" w:color="000000"/>
                              <w:left w:val="dotted" w:sz="4" w:space="0" w:color="000000"/>
                              <w:bottom w:val="dotted" w:sz="4" w:space="0" w:color="000000"/>
                              <w:right w:val="dotted" w:sz="4" w:space="0" w:color="000000"/>
                            </w:tcBorders>
                            <w:vAlign w:val="center"/>
                          </w:tcPr>
                          <w:p>
                            <w:pPr>
                              <w:pStyle w:val="Normal"/>
                              <w:widowControl w:val="false"/>
                              <w:spacing w:before="0" w:after="0"/>
                              <w:jc w:val="center"/>
                              <w:rPr>
                                <w:sz w:val="16"/>
                                <w:szCs w:val="12"/>
                              </w:rPr>
                            </w:pPr>
                            <w:r>
                              <w:rPr>
                                <w:sz w:val="16"/>
                                <w:szCs w:val="12"/>
                              </w:rPr>
                            </w:r>
                          </w:p>
                        </w:tc>
                        <w:tc>
                          <w:tcPr>
                            <w:tcW w:w="302" w:type="dxa"/>
                            <w:tcBorders>
                              <w:top w:val="dotted" w:sz="4" w:space="0" w:color="000000"/>
                              <w:left w:val="dotted" w:sz="4" w:space="0" w:color="000000"/>
                              <w:bottom w:val="dotted" w:sz="4" w:space="0" w:color="000000"/>
                              <w:right w:val="dotted" w:sz="4" w:space="0" w:color="000000"/>
                            </w:tcBorders>
                            <w:vAlign w:val="center"/>
                          </w:tcPr>
                          <w:p>
                            <w:pPr>
                              <w:pStyle w:val="Normal"/>
                              <w:widowControl w:val="false"/>
                              <w:spacing w:before="0" w:after="0"/>
                              <w:rPr>
                                <w:sz w:val="16"/>
                                <w:szCs w:val="12"/>
                              </w:rPr>
                            </w:pPr>
                            <w:r>
                              <w:rPr>
                                <w:sz w:val="16"/>
                                <w:szCs w:val="12"/>
                              </w:rPr>
                            </w:r>
                          </w:p>
                        </w:tc>
                        <w:tc>
                          <w:tcPr>
                            <w:tcW w:w="236" w:type="dxa"/>
                            <w:tcBorders>
                              <w:left w:val="dotted" w:sz="4" w:space="0" w:color="000000"/>
                              <w:right w:val="dotted" w:sz="4" w:space="0" w:color="000000"/>
                            </w:tcBorders>
                            <w:vAlign w:val="center"/>
                          </w:tcPr>
                          <w:p>
                            <w:pPr>
                              <w:pStyle w:val="Normal"/>
                              <w:widowControl w:val="false"/>
                              <w:spacing w:before="0" w:after="0"/>
                              <w:jc w:val="center"/>
                              <w:rPr>
                                <w:sz w:val="16"/>
                                <w:szCs w:val="12"/>
                              </w:rPr>
                            </w:pPr>
                            <w:r>
                              <w:rPr>
                                <w:sz w:val="16"/>
                                <w:szCs w:val="12"/>
                              </w:rPr>
                            </w:r>
                          </w:p>
                        </w:tc>
                        <w:tc>
                          <w:tcPr>
                            <w:tcW w:w="317" w:type="dxa"/>
                            <w:tcBorders>
                              <w:top w:val="dotted" w:sz="4" w:space="0" w:color="000000"/>
                              <w:left w:val="dotted" w:sz="4" w:space="0" w:color="000000"/>
                              <w:bottom w:val="dotted" w:sz="4" w:space="0" w:color="000000"/>
                              <w:right w:val="dotted" w:sz="4" w:space="0" w:color="000000"/>
                            </w:tcBorders>
                            <w:vAlign w:val="center"/>
                          </w:tcPr>
                          <w:p>
                            <w:pPr>
                              <w:pStyle w:val="Normal"/>
                              <w:widowControl w:val="false"/>
                              <w:spacing w:before="0" w:after="0"/>
                              <w:jc w:val="center"/>
                              <w:rPr>
                                <w:sz w:val="8"/>
                                <w:szCs w:val="8"/>
                              </w:rPr>
                            </w:pPr>
                            <w:r>
                              <w:rPr>
                                <w:sz w:val="8"/>
                                <w:szCs w:val="8"/>
                              </w:rPr>
                            </w:r>
                          </w:p>
                          <w:p>
                            <w:pPr>
                              <w:pStyle w:val="Normal"/>
                              <w:widowControl w:val="false"/>
                              <w:spacing w:before="0" w:after="0"/>
                              <w:jc w:val="center"/>
                              <w:rPr>
                                <w:sz w:val="16"/>
                                <w:szCs w:val="12"/>
                              </w:rPr>
                            </w:pPr>
                            <w:r>
                              <w:rPr>
                                <w:sz w:val="16"/>
                                <w:szCs w:val="12"/>
                              </w:rPr>
                              <w:t>B</w:t>
                            </w:r>
                          </w:p>
                          <w:p>
                            <w:pPr>
                              <w:pStyle w:val="Normal"/>
                              <w:widowControl w:val="false"/>
                              <w:spacing w:before="0" w:after="0"/>
                              <w:jc w:val="center"/>
                              <w:rPr>
                                <w:sz w:val="8"/>
                                <w:szCs w:val="8"/>
                              </w:rPr>
                            </w:pPr>
                            <w:r>
                              <w:rPr>
                                <w:sz w:val="8"/>
                                <w:szCs w:val="8"/>
                              </w:rPr>
                            </w:r>
                          </w:p>
                        </w:tc>
                        <w:tc>
                          <w:tcPr>
                            <w:tcW w:w="236" w:type="dxa"/>
                            <w:tcBorders>
                              <w:left w:val="dotted" w:sz="4" w:space="0" w:color="000000"/>
                              <w:bottom w:val="dotted" w:sz="4" w:space="0" w:color="000000"/>
                              <w:right w:val="dotted" w:sz="4" w:space="0" w:color="000000"/>
                            </w:tcBorders>
                            <w:vAlign w:val="center"/>
                          </w:tcPr>
                          <w:p>
                            <w:pPr>
                              <w:pStyle w:val="Normal"/>
                              <w:widowControl w:val="false"/>
                              <w:spacing w:before="0" w:after="0"/>
                              <w:jc w:val="center"/>
                              <w:rPr>
                                <w:sz w:val="16"/>
                                <w:szCs w:val="12"/>
                              </w:rPr>
                            </w:pPr>
                            <w:r>
                              <w:rPr>
                                <w:sz w:val="16"/>
                                <w:szCs w:val="12"/>
                              </w:rPr>
                            </w:r>
                          </w:p>
                        </w:tc>
                        <w:tc>
                          <w:tcPr>
                            <w:tcW w:w="303" w:type="dxa"/>
                            <w:tcBorders>
                              <w:top w:val="dotted" w:sz="4" w:space="0" w:color="000000"/>
                              <w:left w:val="dotted" w:sz="4" w:space="0" w:color="000000"/>
                              <w:bottom w:val="dotted" w:sz="4" w:space="0" w:color="000000"/>
                              <w:right w:val="dotted" w:sz="4" w:space="0" w:color="000000"/>
                            </w:tcBorders>
                            <w:vAlign w:val="center"/>
                          </w:tcPr>
                          <w:p>
                            <w:pPr>
                              <w:pStyle w:val="Normal"/>
                              <w:widowControl w:val="false"/>
                              <w:spacing w:before="0" w:after="0"/>
                              <w:jc w:val="center"/>
                              <w:rPr>
                                <w:sz w:val="16"/>
                                <w:szCs w:val="12"/>
                              </w:rPr>
                            </w:pPr>
                            <w:r>
                              <w:rPr>
                                <w:sz w:val="16"/>
                                <w:szCs w:val="12"/>
                              </w:rPr>
                              <w:t>0</w:t>
                            </w:r>
                          </w:p>
                        </w:tc>
                        <w:tc>
                          <w:tcPr>
                            <w:tcW w:w="296" w:type="dxa"/>
                            <w:tcBorders>
                              <w:top w:val="dotted" w:sz="4" w:space="0" w:color="000000"/>
                              <w:left w:val="dotted" w:sz="4" w:space="0" w:color="000000"/>
                              <w:bottom w:val="dotted" w:sz="4" w:space="0" w:color="000000"/>
                              <w:right w:val="dotted" w:sz="4" w:space="0" w:color="000000"/>
                            </w:tcBorders>
                            <w:vAlign w:val="center"/>
                          </w:tcPr>
                          <w:p>
                            <w:pPr>
                              <w:pStyle w:val="Normal"/>
                              <w:widowControl w:val="false"/>
                              <w:spacing w:before="0" w:after="0"/>
                              <w:jc w:val="center"/>
                              <w:rPr>
                                <w:sz w:val="16"/>
                                <w:szCs w:val="12"/>
                              </w:rPr>
                            </w:pPr>
                            <w:r>
                              <w:rPr>
                                <w:sz w:val="16"/>
                                <w:szCs w:val="12"/>
                              </w:rPr>
                              <w:t>1</w:t>
                            </w:r>
                          </w:p>
                        </w:tc>
                      </w:tr>
                      <w:tr>
                        <w:trPr>
                          <w:trHeight w:val="20" w:hRule="atLeast"/>
                        </w:trPr>
                        <w:tc>
                          <w:tcPr>
                            <w:tcW w:w="968" w:type="dxa"/>
                            <w:gridSpan w:val="3"/>
                            <w:tcBorders>
                              <w:top w:val="dotted" w:sz="4" w:space="0" w:color="000000"/>
                              <w:left w:val="dotted" w:sz="4" w:space="0" w:color="000000"/>
                              <w:bottom w:val="dotted" w:sz="4" w:space="0" w:color="000000"/>
                              <w:right w:val="dotted" w:sz="4" w:space="0" w:color="000000"/>
                            </w:tcBorders>
                            <w:vAlign w:val="center"/>
                          </w:tcPr>
                          <w:p>
                            <w:pPr>
                              <w:pStyle w:val="Normal"/>
                              <w:widowControl w:val="false"/>
                              <w:spacing w:before="0" w:after="0"/>
                              <w:jc w:val="center"/>
                              <w:rPr>
                                <w:sz w:val="12"/>
                              </w:rPr>
                            </w:pPr>
                            <w:r>
                              <w:rPr>
                                <w:sz w:val="12"/>
                              </w:rPr>
                              <w:t>N° Société</w:t>
                            </w:r>
                          </w:p>
                        </w:tc>
                        <w:tc>
                          <w:tcPr>
                            <w:tcW w:w="236" w:type="dxa"/>
                            <w:tcBorders>
                              <w:left w:val="dotted" w:sz="4" w:space="0" w:color="000000"/>
                              <w:bottom w:val="dotted" w:sz="4" w:space="0" w:color="000000"/>
                              <w:right w:val="dotted" w:sz="4" w:space="0" w:color="000000"/>
                            </w:tcBorders>
                            <w:vAlign w:val="center"/>
                          </w:tcPr>
                          <w:p>
                            <w:pPr>
                              <w:pStyle w:val="Normal"/>
                              <w:widowControl w:val="false"/>
                              <w:spacing w:before="0" w:after="0"/>
                              <w:jc w:val="center"/>
                              <w:rPr>
                                <w:sz w:val="12"/>
                              </w:rPr>
                            </w:pPr>
                            <w:r>
                              <w:rPr>
                                <w:sz w:val="12"/>
                              </w:rPr>
                            </w:r>
                          </w:p>
                        </w:tc>
                        <w:tc>
                          <w:tcPr>
                            <w:tcW w:w="1506" w:type="dxa"/>
                            <w:gridSpan w:val="5"/>
                            <w:tcBorders>
                              <w:top w:val="dotted" w:sz="4" w:space="0" w:color="000000"/>
                              <w:left w:val="dotted" w:sz="4" w:space="0" w:color="000000"/>
                              <w:bottom w:val="dotted" w:sz="4" w:space="0" w:color="000000"/>
                              <w:right w:val="dotted" w:sz="4" w:space="0" w:color="000000"/>
                            </w:tcBorders>
                            <w:vAlign w:val="center"/>
                          </w:tcPr>
                          <w:p>
                            <w:pPr>
                              <w:pStyle w:val="Normal"/>
                              <w:widowControl w:val="false"/>
                              <w:spacing w:before="0" w:after="0"/>
                              <w:jc w:val="center"/>
                              <w:rPr>
                                <w:sz w:val="12"/>
                              </w:rPr>
                            </w:pPr>
                            <w:r>
                              <w:rPr>
                                <w:sz w:val="12"/>
                              </w:rPr>
                              <w:t>N° d’Affaire</w:t>
                            </w:r>
                          </w:p>
                        </w:tc>
                        <w:tc>
                          <w:tcPr>
                            <w:tcW w:w="236" w:type="dxa"/>
                            <w:tcBorders>
                              <w:left w:val="dotted" w:sz="4" w:space="0" w:color="000000"/>
                              <w:bottom w:val="dotted" w:sz="4" w:space="0" w:color="000000"/>
                              <w:right w:val="dotted" w:sz="4" w:space="0" w:color="000000"/>
                            </w:tcBorders>
                            <w:vAlign w:val="center"/>
                          </w:tcPr>
                          <w:p>
                            <w:pPr>
                              <w:pStyle w:val="Normal"/>
                              <w:widowControl w:val="false"/>
                              <w:spacing w:before="0" w:after="0"/>
                              <w:jc w:val="center"/>
                              <w:rPr>
                                <w:sz w:val="12"/>
                              </w:rPr>
                            </w:pPr>
                            <w:r>
                              <w:rPr>
                                <w:sz w:val="12"/>
                              </w:rPr>
                            </w:r>
                          </w:p>
                        </w:tc>
                        <w:tc>
                          <w:tcPr>
                            <w:tcW w:w="313" w:type="dxa"/>
                            <w:tcBorders>
                              <w:top w:val="dotted" w:sz="4" w:space="0" w:color="000000"/>
                              <w:left w:val="dotted" w:sz="4" w:space="0" w:color="000000"/>
                              <w:bottom w:val="dotted" w:sz="4" w:space="0" w:color="000000"/>
                              <w:right w:val="dotted" w:sz="4" w:space="0" w:color="000000"/>
                            </w:tcBorders>
                            <w:vAlign w:val="center"/>
                          </w:tcPr>
                          <w:p>
                            <w:pPr>
                              <w:pStyle w:val="Normal"/>
                              <w:widowControl w:val="false"/>
                              <w:spacing w:before="0" w:after="0"/>
                              <w:jc w:val="center"/>
                              <w:rPr>
                                <w:sz w:val="12"/>
                              </w:rPr>
                            </w:pPr>
                            <w:r>
                              <w:rPr>
                                <w:sz w:val="12"/>
                              </w:rPr>
                              <w:t>T</w:t>
                            </w:r>
                          </w:p>
                        </w:tc>
                        <w:tc>
                          <w:tcPr>
                            <w:tcW w:w="236" w:type="dxa"/>
                            <w:tcBorders>
                              <w:left w:val="dotted" w:sz="4" w:space="0" w:color="000000"/>
                              <w:bottom w:val="dotted" w:sz="4" w:space="0" w:color="000000"/>
                              <w:right w:val="dotted" w:sz="4" w:space="0" w:color="000000"/>
                            </w:tcBorders>
                            <w:vAlign w:val="center"/>
                          </w:tcPr>
                          <w:p>
                            <w:pPr>
                              <w:pStyle w:val="Normal"/>
                              <w:widowControl w:val="false"/>
                              <w:spacing w:before="0" w:after="0"/>
                              <w:jc w:val="center"/>
                              <w:rPr>
                                <w:sz w:val="12"/>
                              </w:rPr>
                            </w:pPr>
                            <w:r>
                              <w:rPr>
                                <w:sz w:val="12"/>
                              </w:rPr>
                            </w:r>
                          </w:p>
                        </w:tc>
                        <w:tc>
                          <w:tcPr>
                            <w:tcW w:w="1011" w:type="dxa"/>
                            <w:gridSpan w:val="3"/>
                            <w:tcBorders>
                              <w:top w:val="dotted" w:sz="4" w:space="0" w:color="000000"/>
                              <w:left w:val="dotted" w:sz="4" w:space="0" w:color="000000"/>
                              <w:bottom w:val="dotted" w:sz="4" w:space="0" w:color="000000"/>
                              <w:right w:val="dotted" w:sz="4" w:space="0" w:color="000000"/>
                            </w:tcBorders>
                            <w:vAlign w:val="center"/>
                          </w:tcPr>
                          <w:p>
                            <w:pPr>
                              <w:pStyle w:val="Normal"/>
                              <w:widowControl w:val="false"/>
                              <w:spacing w:before="0" w:after="0"/>
                              <w:jc w:val="center"/>
                              <w:rPr>
                                <w:sz w:val="12"/>
                              </w:rPr>
                            </w:pPr>
                            <w:r>
                              <w:rPr>
                                <w:sz w:val="12"/>
                              </w:rPr>
                              <w:t>Phase étude</w:t>
                            </w:r>
                          </w:p>
                        </w:tc>
                        <w:tc>
                          <w:tcPr>
                            <w:tcW w:w="236" w:type="dxa"/>
                            <w:tcBorders>
                              <w:left w:val="dotted" w:sz="4" w:space="0" w:color="000000"/>
                              <w:bottom w:val="dotted" w:sz="4" w:space="0" w:color="000000"/>
                              <w:right w:val="dotted" w:sz="4" w:space="0" w:color="000000"/>
                            </w:tcBorders>
                            <w:vAlign w:val="center"/>
                          </w:tcPr>
                          <w:p>
                            <w:pPr>
                              <w:pStyle w:val="Normal"/>
                              <w:widowControl w:val="false"/>
                              <w:spacing w:before="0" w:after="0"/>
                              <w:jc w:val="center"/>
                              <w:rPr>
                                <w:sz w:val="12"/>
                              </w:rPr>
                            </w:pPr>
                            <w:r>
                              <w:rPr>
                                <w:sz w:val="12"/>
                              </w:rPr>
                            </w:r>
                          </w:p>
                        </w:tc>
                        <w:tc>
                          <w:tcPr>
                            <w:tcW w:w="984" w:type="dxa"/>
                            <w:gridSpan w:val="3"/>
                            <w:tcBorders>
                              <w:top w:val="dotted" w:sz="4" w:space="0" w:color="000000"/>
                              <w:left w:val="dotted" w:sz="4" w:space="0" w:color="000000"/>
                              <w:bottom w:val="dotted" w:sz="4" w:space="0" w:color="000000"/>
                              <w:right w:val="dotted" w:sz="4" w:space="0" w:color="000000"/>
                            </w:tcBorders>
                            <w:vAlign w:val="center"/>
                          </w:tcPr>
                          <w:p>
                            <w:pPr>
                              <w:pStyle w:val="Normal"/>
                              <w:widowControl w:val="false"/>
                              <w:spacing w:before="0" w:after="0"/>
                              <w:jc w:val="center"/>
                              <w:rPr>
                                <w:sz w:val="12"/>
                              </w:rPr>
                            </w:pPr>
                            <w:r>
                              <w:rPr>
                                <w:sz w:val="12"/>
                              </w:rPr>
                              <w:t>Sous Phase</w:t>
                            </w:r>
                          </w:p>
                        </w:tc>
                        <w:tc>
                          <w:tcPr>
                            <w:tcW w:w="236" w:type="dxa"/>
                            <w:tcBorders>
                              <w:left w:val="dotted" w:sz="4" w:space="0" w:color="000000"/>
                              <w:bottom w:val="dotted" w:sz="4" w:space="0" w:color="000000"/>
                              <w:right w:val="dotted" w:sz="4" w:space="0" w:color="000000"/>
                            </w:tcBorders>
                            <w:vAlign w:val="center"/>
                          </w:tcPr>
                          <w:p>
                            <w:pPr>
                              <w:pStyle w:val="Normal"/>
                              <w:widowControl w:val="false"/>
                              <w:spacing w:before="0" w:after="0"/>
                              <w:jc w:val="center"/>
                              <w:rPr>
                                <w:sz w:val="12"/>
                              </w:rPr>
                            </w:pPr>
                            <w:r>
                              <w:rPr>
                                <w:sz w:val="12"/>
                              </w:rPr>
                            </w:r>
                          </w:p>
                        </w:tc>
                        <w:tc>
                          <w:tcPr>
                            <w:tcW w:w="903" w:type="dxa"/>
                            <w:gridSpan w:val="3"/>
                            <w:tcBorders>
                              <w:top w:val="dotted" w:sz="4" w:space="0" w:color="000000"/>
                              <w:left w:val="dotted" w:sz="4" w:space="0" w:color="000000"/>
                              <w:bottom w:val="dotted" w:sz="4" w:space="0" w:color="000000"/>
                              <w:right w:val="dotted" w:sz="4" w:space="0" w:color="000000"/>
                            </w:tcBorders>
                            <w:vAlign w:val="center"/>
                          </w:tcPr>
                          <w:p>
                            <w:pPr>
                              <w:pStyle w:val="Normal"/>
                              <w:widowControl w:val="false"/>
                              <w:spacing w:before="0" w:after="0"/>
                              <w:jc w:val="center"/>
                              <w:rPr>
                                <w:sz w:val="12"/>
                              </w:rPr>
                            </w:pPr>
                            <w:r>
                              <w:rPr>
                                <w:sz w:val="12"/>
                              </w:rPr>
                              <w:t>N° de Pièce</w:t>
                            </w:r>
                          </w:p>
                        </w:tc>
                        <w:tc>
                          <w:tcPr>
                            <w:tcW w:w="236" w:type="dxa"/>
                            <w:tcBorders>
                              <w:left w:val="dotted" w:sz="4" w:space="0" w:color="000000"/>
                              <w:bottom w:val="dotted" w:sz="4" w:space="0" w:color="000000"/>
                              <w:right w:val="dotted" w:sz="4" w:space="0" w:color="000000"/>
                            </w:tcBorders>
                            <w:vAlign w:val="center"/>
                          </w:tcPr>
                          <w:p>
                            <w:pPr>
                              <w:pStyle w:val="Normal"/>
                              <w:widowControl w:val="false"/>
                              <w:spacing w:before="0" w:after="0"/>
                              <w:jc w:val="center"/>
                              <w:rPr>
                                <w:sz w:val="12"/>
                              </w:rPr>
                            </w:pPr>
                            <w:r>
                              <w:rPr>
                                <w:sz w:val="12"/>
                              </w:rPr>
                            </w:r>
                          </w:p>
                        </w:tc>
                        <w:tc>
                          <w:tcPr>
                            <w:tcW w:w="1152" w:type="dxa"/>
                            <w:gridSpan w:val="4"/>
                            <w:tcBorders>
                              <w:top w:val="dotted" w:sz="4" w:space="0" w:color="000000"/>
                              <w:left w:val="dotted" w:sz="4" w:space="0" w:color="000000"/>
                              <w:bottom w:val="dotted" w:sz="4" w:space="0" w:color="000000"/>
                              <w:right w:val="dotted" w:sz="4" w:space="0" w:color="000000"/>
                            </w:tcBorders>
                            <w:vAlign w:val="center"/>
                          </w:tcPr>
                          <w:p>
                            <w:pPr>
                              <w:pStyle w:val="Normal"/>
                              <w:widowControl w:val="false"/>
                              <w:spacing w:before="0" w:after="0"/>
                              <w:jc w:val="center"/>
                              <w:rPr>
                                <w:sz w:val="12"/>
                              </w:rPr>
                            </w:pPr>
                            <w:r>
                              <w:rPr>
                                <w:sz w:val="12"/>
                              </w:rPr>
                              <w:t>Indice</w:t>
                            </w:r>
                          </w:p>
                        </w:tc>
                      </w:tr>
                    </w:tbl>
                  </w:txbxContent>
                </v:textbox>
                <w10:wrap type="square"/>
              </v:rect>
            </w:pict>
          </mc:Fallback>
        </mc:AlternateContent>
      </w:r>
    </w:p>
    <w:p>
      <w:pPr>
        <w:pStyle w:val="Normal"/>
        <w:spacing w:before="0" w:after="0"/>
        <w:rPr/>
      </w:pPr>
      <w:r>
        <w:rPr/>
      </w:r>
    </w:p>
    <w:p>
      <w:pPr>
        <w:pStyle w:val="Normal"/>
        <w:spacing w:before="0" w:after="0"/>
        <w:rPr/>
      </w:pPr>
      <w:r>
        <w:rPr/>
      </w:r>
    </w:p>
    <w:p>
      <w:pPr>
        <w:pStyle w:val="Normal"/>
        <w:spacing w:before="0" w:after="0"/>
        <w:rPr/>
      </w:pPr>
      <w:r>
        <w:rPr/>
      </w:r>
    </w:p>
    <w:tbl>
      <w:tblPr>
        <w:tblW w:w="9924" w:type="dxa"/>
        <w:jc w:val="center"/>
        <w:tblInd w:w="0" w:type="dxa"/>
        <w:tblLayout w:type="fixed"/>
        <w:tblCellMar>
          <w:top w:w="0" w:type="dxa"/>
          <w:left w:w="108" w:type="dxa"/>
          <w:bottom w:w="0" w:type="dxa"/>
          <w:right w:w="108" w:type="dxa"/>
        </w:tblCellMar>
      </w:tblPr>
      <w:tblGrid>
        <w:gridCol w:w="834"/>
        <w:gridCol w:w="1160"/>
        <w:gridCol w:w="4178"/>
        <w:gridCol w:w="1187"/>
        <w:gridCol w:w="1221"/>
        <w:gridCol w:w="1344"/>
      </w:tblGrid>
      <w:tr>
        <w:trPr>
          <w:trHeight w:val="54" w:hRule="atLeast"/>
        </w:trPr>
        <w:tc>
          <w:tcPr>
            <w:tcW w:w="9924" w:type="dxa"/>
            <w:gridSpan w:val="6"/>
            <w:tcBorders>
              <w:top w:val="dotted" w:sz="4" w:space="0" w:color="000000"/>
              <w:left w:val="dotted" w:sz="4" w:space="0" w:color="000000"/>
              <w:bottom w:val="dotted" w:sz="4" w:space="0" w:color="000000"/>
              <w:right w:val="dotted" w:sz="4" w:space="0" w:color="000000"/>
            </w:tcBorders>
            <w:vAlign w:val="center"/>
          </w:tcPr>
          <w:p>
            <w:pPr>
              <w:pStyle w:val="Normal"/>
              <w:widowControl w:val="false"/>
              <w:spacing w:before="120" w:after="120"/>
              <w:jc w:val="center"/>
              <w:rPr>
                <w:b/>
                <w:sz w:val="28"/>
              </w:rPr>
            </w:pPr>
            <w:r>
              <w:rPr>
                <w:b/>
                <w:sz w:val="28"/>
              </w:rPr>
              <w:t>Bordereau des Prix Unitaires (B.P.U.)</w:t>
            </w:r>
          </w:p>
        </w:tc>
      </w:tr>
      <w:tr>
        <w:trPr>
          <w:trHeight w:val="284" w:hRule="atLeast"/>
        </w:trPr>
        <w:tc>
          <w:tcPr>
            <w:tcW w:w="834" w:type="dxa"/>
            <w:tcBorders>
              <w:top w:val="dotted" w:sz="4" w:space="0" w:color="000000"/>
              <w:left w:val="dotted" w:sz="4" w:space="0" w:color="000000"/>
              <w:bottom w:val="dotted" w:sz="4" w:space="0" w:color="000000"/>
              <w:right w:val="dotted" w:sz="4" w:space="0" w:color="000000"/>
            </w:tcBorders>
            <w:vAlign w:val="center"/>
          </w:tcPr>
          <w:p>
            <w:pPr>
              <w:pStyle w:val="Normal"/>
              <w:widowControl w:val="false"/>
              <w:spacing w:before="40" w:after="40"/>
              <w:jc w:val="center"/>
              <w:rPr>
                <w:b/>
                <w:sz w:val="18"/>
                <w:szCs w:val="18"/>
              </w:rPr>
            </w:pPr>
            <w:r>
              <w:rPr>
                <w:b/>
                <w:sz w:val="18"/>
                <w:szCs w:val="18"/>
              </w:rPr>
              <w:t>Indice</w:t>
            </w:r>
          </w:p>
        </w:tc>
        <w:tc>
          <w:tcPr>
            <w:tcW w:w="1160" w:type="dxa"/>
            <w:tcBorders>
              <w:top w:val="dotted" w:sz="4" w:space="0" w:color="000000"/>
              <w:left w:val="dotted" w:sz="4" w:space="0" w:color="000000"/>
              <w:bottom w:val="dotted" w:sz="4" w:space="0" w:color="000000"/>
              <w:right w:val="dotted" w:sz="4" w:space="0" w:color="000000"/>
            </w:tcBorders>
            <w:vAlign w:val="center"/>
          </w:tcPr>
          <w:p>
            <w:pPr>
              <w:pStyle w:val="Normal"/>
              <w:widowControl w:val="false"/>
              <w:spacing w:before="40" w:after="40"/>
              <w:jc w:val="center"/>
              <w:rPr>
                <w:b/>
                <w:sz w:val="18"/>
                <w:szCs w:val="18"/>
              </w:rPr>
            </w:pPr>
            <w:r>
              <w:rPr>
                <w:b/>
                <w:sz w:val="18"/>
                <w:szCs w:val="18"/>
              </w:rPr>
              <w:t>Date</w:t>
            </w:r>
          </w:p>
        </w:tc>
        <w:tc>
          <w:tcPr>
            <w:tcW w:w="4178" w:type="dxa"/>
            <w:tcBorders>
              <w:top w:val="dotted" w:sz="4" w:space="0" w:color="000000"/>
              <w:left w:val="dotted" w:sz="4" w:space="0" w:color="000000"/>
              <w:bottom w:val="dotted" w:sz="4" w:space="0" w:color="000000"/>
              <w:right w:val="dotted" w:sz="4" w:space="0" w:color="000000"/>
            </w:tcBorders>
            <w:vAlign w:val="center"/>
          </w:tcPr>
          <w:p>
            <w:pPr>
              <w:pStyle w:val="Normal"/>
              <w:widowControl w:val="false"/>
              <w:spacing w:before="40" w:after="40"/>
              <w:jc w:val="center"/>
              <w:rPr>
                <w:b/>
                <w:sz w:val="18"/>
                <w:szCs w:val="18"/>
              </w:rPr>
            </w:pPr>
            <w:r>
              <w:rPr>
                <w:b/>
                <w:sz w:val="18"/>
                <w:szCs w:val="18"/>
              </w:rPr>
              <w:t>Changements opérés</w:t>
            </w:r>
          </w:p>
        </w:tc>
        <w:tc>
          <w:tcPr>
            <w:tcW w:w="1187" w:type="dxa"/>
            <w:tcBorders>
              <w:top w:val="dotted" w:sz="4" w:space="0" w:color="000000"/>
              <w:left w:val="dotted" w:sz="4" w:space="0" w:color="000000"/>
              <w:bottom w:val="dotted" w:sz="4" w:space="0" w:color="000000"/>
              <w:right w:val="dotted" w:sz="4" w:space="0" w:color="000000"/>
            </w:tcBorders>
            <w:vAlign w:val="center"/>
          </w:tcPr>
          <w:p>
            <w:pPr>
              <w:pStyle w:val="Normal"/>
              <w:widowControl w:val="false"/>
              <w:spacing w:before="40" w:after="40"/>
              <w:jc w:val="center"/>
              <w:rPr>
                <w:b/>
                <w:sz w:val="18"/>
                <w:szCs w:val="18"/>
              </w:rPr>
            </w:pPr>
            <w:r>
              <w:rPr>
                <w:b/>
                <w:sz w:val="18"/>
                <w:szCs w:val="18"/>
              </w:rPr>
              <w:t>Établi par</w:t>
            </w:r>
          </w:p>
        </w:tc>
        <w:tc>
          <w:tcPr>
            <w:tcW w:w="1221" w:type="dxa"/>
            <w:tcBorders>
              <w:top w:val="dotted" w:sz="4" w:space="0" w:color="000000"/>
              <w:left w:val="dotted" w:sz="4" w:space="0" w:color="000000"/>
              <w:bottom w:val="dotted" w:sz="4" w:space="0" w:color="000000"/>
              <w:right w:val="dotted" w:sz="4" w:space="0" w:color="000000"/>
            </w:tcBorders>
            <w:vAlign w:val="center"/>
          </w:tcPr>
          <w:p>
            <w:pPr>
              <w:pStyle w:val="Normal"/>
              <w:widowControl w:val="false"/>
              <w:spacing w:before="40" w:after="40"/>
              <w:jc w:val="center"/>
              <w:rPr>
                <w:b/>
                <w:sz w:val="18"/>
                <w:szCs w:val="18"/>
              </w:rPr>
            </w:pPr>
            <w:r>
              <w:rPr>
                <w:b/>
                <w:sz w:val="18"/>
                <w:szCs w:val="18"/>
              </w:rPr>
              <w:t>Vérifié par</w:t>
            </w:r>
          </w:p>
        </w:tc>
        <w:tc>
          <w:tcPr>
            <w:tcW w:w="1344" w:type="dxa"/>
            <w:tcBorders>
              <w:top w:val="dotted" w:sz="4" w:space="0" w:color="000000"/>
              <w:left w:val="dotted" w:sz="4" w:space="0" w:color="000000"/>
              <w:bottom w:val="dotted" w:sz="4" w:space="0" w:color="000000"/>
              <w:right w:val="dotted" w:sz="4" w:space="0" w:color="000000"/>
            </w:tcBorders>
            <w:vAlign w:val="center"/>
          </w:tcPr>
          <w:p>
            <w:pPr>
              <w:pStyle w:val="Normal"/>
              <w:widowControl w:val="false"/>
              <w:spacing w:before="40" w:after="40"/>
              <w:jc w:val="center"/>
              <w:rPr>
                <w:b/>
                <w:sz w:val="18"/>
                <w:szCs w:val="18"/>
              </w:rPr>
            </w:pPr>
            <w:r>
              <w:rPr>
                <w:b/>
                <w:sz w:val="18"/>
                <w:szCs w:val="18"/>
              </w:rPr>
              <w:t>Approuvé par</w:t>
            </w:r>
          </w:p>
        </w:tc>
      </w:tr>
      <w:tr>
        <w:trPr>
          <w:trHeight w:val="284" w:hRule="atLeast"/>
        </w:trPr>
        <w:tc>
          <w:tcPr>
            <w:tcW w:w="834" w:type="dxa"/>
            <w:tcBorders>
              <w:top w:val="dotted" w:sz="4" w:space="0" w:color="000000"/>
              <w:left w:val="dotted" w:sz="4" w:space="0" w:color="000000"/>
              <w:bottom w:val="dotted" w:sz="4" w:space="0" w:color="000000"/>
              <w:right w:val="dotted" w:sz="4" w:space="0" w:color="000000"/>
            </w:tcBorders>
            <w:vAlign w:val="center"/>
          </w:tcPr>
          <w:p>
            <w:pPr>
              <w:pStyle w:val="Normal"/>
              <w:widowControl w:val="false"/>
              <w:spacing w:before="40" w:after="40"/>
              <w:jc w:val="center"/>
              <w:rPr>
                <w:bCs/>
                <w:sz w:val="17"/>
                <w:szCs w:val="17"/>
              </w:rPr>
            </w:pPr>
            <w:r>
              <w:rPr>
                <w:bCs/>
                <w:sz w:val="17"/>
                <w:szCs w:val="17"/>
              </w:rPr>
              <w:t>A-01</w:t>
            </w:r>
          </w:p>
        </w:tc>
        <w:tc>
          <w:tcPr>
            <w:tcW w:w="1160" w:type="dxa"/>
            <w:tcBorders>
              <w:top w:val="dotted" w:sz="4" w:space="0" w:color="000000"/>
              <w:left w:val="dotted" w:sz="4" w:space="0" w:color="000000"/>
              <w:bottom w:val="dotted" w:sz="4" w:space="0" w:color="000000"/>
              <w:right w:val="dotted" w:sz="4" w:space="0" w:color="000000"/>
            </w:tcBorders>
            <w:vAlign w:val="center"/>
          </w:tcPr>
          <w:p>
            <w:pPr>
              <w:pStyle w:val="Normal"/>
              <w:widowControl w:val="false"/>
              <w:spacing w:before="40" w:after="40"/>
              <w:jc w:val="center"/>
              <w:rPr>
                <w:sz w:val="17"/>
                <w:szCs w:val="17"/>
              </w:rPr>
            </w:pPr>
            <w:r>
              <w:rPr>
                <w:sz w:val="17"/>
                <w:szCs w:val="17"/>
              </w:rPr>
              <w:t>12/02/2026</w:t>
            </w:r>
          </w:p>
        </w:tc>
        <w:tc>
          <w:tcPr>
            <w:tcW w:w="4178" w:type="dxa"/>
            <w:tcBorders>
              <w:top w:val="dotted" w:sz="4" w:space="0" w:color="000000"/>
              <w:left w:val="dotted" w:sz="4" w:space="0" w:color="000000"/>
              <w:bottom w:val="dotted" w:sz="4" w:space="0" w:color="000000"/>
              <w:right w:val="dotted" w:sz="4" w:space="0" w:color="000000"/>
            </w:tcBorders>
            <w:vAlign w:val="center"/>
          </w:tcPr>
          <w:p>
            <w:pPr>
              <w:pStyle w:val="Normal"/>
              <w:widowControl w:val="false"/>
              <w:spacing w:before="40" w:after="40"/>
              <w:jc w:val="center"/>
              <w:rPr>
                <w:sz w:val="17"/>
                <w:szCs w:val="17"/>
              </w:rPr>
            </w:pPr>
            <w:r>
              <w:rPr>
                <w:sz w:val="17"/>
                <w:szCs w:val="17"/>
              </w:rPr>
              <w:t>Établissement du B.P.U.</w:t>
            </w:r>
          </w:p>
        </w:tc>
        <w:tc>
          <w:tcPr>
            <w:tcW w:w="1187" w:type="dxa"/>
            <w:tcBorders>
              <w:top w:val="dotted" w:sz="4" w:space="0" w:color="000000"/>
              <w:left w:val="dotted" w:sz="4" w:space="0" w:color="000000"/>
              <w:bottom w:val="dotted" w:sz="4" w:space="0" w:color="000000"/>
              <w:right w:val="dotted" w:sz="4" w:space="0" w:color="000000"/>
            </w:tcBorders>
            <w:vAlign w:val="center"/>
          </w:tcPr>
          <w:p>
            <w:pPr>
              <w:pStyle w:val="Normal"/>
              <w:widowControl w:val="false"/>
              <w:spacing w:before="40" w:after="40"/>
              <w:jc w:val="center"/>
              <w:rPr>
                <w:sz w:val="17"/>
                <w:szCs w:val="17"/>
              </w:rPr>
            </w:pPr>
            <w:r>
              <w:rPr>
                <w:sz w:val="17"/>
                <w:szCs w:val="17"/>
              </w:rPr>
              <w:t>Y. ANDELA</w:t>
            </w:r>
          </w:p>
        </w:tc>
        <w:tc>
          <w:tcPr>
            <w:tcW w:w="1221" w:type="dxa"/>
            <w:tcBorders>
              <w:top w:val="dotted" w:sz="4" w:space="0" w:color="000000"/>
              <w:left w:val="dotted" w:sz="4" w:space="0" w:color="000000"/>
              <w:bottom w:val="dotted" w:sz="4" w:space="0" w:color="000000"/>
              <w:right w:val="dotted" w:sz="4" w:space="0" w:color="000000"/>
            </w:tcBorders>
            <w:vAlign w:val="center"/>
          </w:tcPr>
          <w:p>
            <w:pPr>
              <w:pStyle w:val="Normal"/>
              <w:widowControl w:val="false"/>
              <w:spacing w:before="40" w:after="40"/>
              <w:jc w:val="center"/>
              <w:rPr>
                <w:sz w:val="17"/>
                <w:szCs w:val="17"/>
              </w:rPr>
            </w:pPr>
            <w:r>
              <w:rPr>
                <w:sz w:val="17"/>
                <w:szCs w:val="17"/>
              </w:rPr>
              <w:t>S. RIBANO</w:t>
            </w:r>
          </w:p>
        </w:tc>
        <w:tc>
          <w:tcPr>
            <w:tcW w:w="1344" w:type="dxa"/>
            <w:tcBorders>
              <w:top w:val="dotted" w:sz="4" w:space="0" w:color="000000"/>
              <w:left w:val="dotted" w:sz="4" w:space="0" w:color="000000"/>
              <w:bottom w:val="dotted" w:sz="4" w:space="0" w:color="000000"/>
              <w:right w:val="dotted" w:sz="4" w:space="0" w:color="000000"/>
            </w:tcBorders>
            <w:vAlign w:val="center"/>
          </w:tcPr>
          <w:p>
            <w:pPr>
              <w:pStyle w:val="Normal"/>
              <w:widowControl w:val="false"/>
              <w:spacing w:before="40" w:after="40"/>
              <w:jc w:val="center"/>
              <w:rPr>
                <w:sz w:val="17"/>
                <w:szCs w:val="17"/>
              </w:rPr>
            </w:pPr>
            <w:r>
              <w:rPr>
                <w:sz w:val="17"/>
                <w:szCs w:val="17"/>
              </w:rPr>
              <w:t>M. CARDIN</w:t>
            </w:r>
          </w:p>
        </w:tc>
      </w:tr>
      <w:tr>
        <w:trPr>
          <w:trHeight w:val="284" w:hRule="atLeast"/>
        </w:trPr>
        <w:tc>
          <w:tcPr>
            <w:tcW w:w="834" w:type="dxa"/>
            <w:tcBorders>
              <w:top w:val="dotted" w:sz="4" w:space="0" w:color="000000"/>
              <w:left w:val="dotted" w:sz="4" w:space="0" w:color="000000"/>
              <w:bottom w:val="dotted" w:sz="4" w:space="0" w:color="000000"/>
              <w:right w:val="dotted" w:sz="4" w:space="0" w:color="000000"/>
            </w:tcBorders>
            <w:vAlign w:val="center"/>
          </w:tcPr>
          <w:p>
            <w:pPr>
              <w:pStyle w:val="Normal"/>
              <w:widowControl w:val="false"/>
              <w:spacing w:before="40" w:after="40"/>
              <w:jc w:val="center"/>
              <w:rPr>
                <w:bCs/>
                <w:sz w:val="17"/>
                <w:szCs w:val="17"/>
              </w:rPr>
            </w:pPr>
            <w:r>
              <w:rPr>
                <w:bCs/>
                <w:sz w:val="17"/>
                <w:szCs w:val="17"/>
              </w:rPr>
              <w:t>B-01</w:t>
            </w:r>
          </w:p>
        </w:tc>
        <w:tc>
          <w:tcPr>
            <w:tcW w:w="1160" w:type="dxa"/>
            <w:tcBorders>
              <w:top w:val="dotted" w:sz="4" w:space="0" w:color="000000"/>
              <w:left w:val="dotted" w:sz="4" w:space="0" w:color="000000"/>
              <w:bottom w:val="dotted" w:sz="4" w:space="0" w:color="000000"/>
              <w:right w:val="dotted" w:sz="4" w:space="0" w:color="000000"/>
            </w:tcBorders>
            <w:vAlign w:val="center"/>
          </w:tcPr>
          <w:p>
            <w:pPr>
              <w:pStyle w:val="Normal"/>
              <w:widowControl w:val="false"/>
              <w:spacing w:before="40" w:after="40"/>
              <w:jc w:val="center"/>
              <w:rPr>
                <w:sz w:val="17"/>
                <w:szCs w:val="17"/>
              </w:rPr>
            </w:pPr>
            <w:r>
              <w:rPr>
                <w:sz w:val="17"/>
                <w:szCs w:val="17"/>
              </w:rPr>
              <w:t>16/03/2026</w:t>
            </w:r>
          </w:p>
        </w:tc>
        <w:tc>
          <w:tcPr>
            <w:tcW w:w="4178" w:type="dxa"/>
            <w:tcBorders>
              <w:top w:val="dotted" w:sz="4" w:space="0" w:color="000000"/>
              <w:left w:val="dotted" w:sz="4" w:space="0" w:color="000000"/>
              <w:bottom w:val="dotted" w:sz="4" w:space="0" w:color="000000"/>
              <w:right w:val="dotted" w:sz="4" w:space="0" w:color="000000"/>
            </w:tcBorders>
            <w:vAlign w:val="center"/>
          </w:tcPr>
          <w:p>
            <w:pPr>
              <w:pStyle w:val="Normal"/>
              <w:widowControl w:val="false"/>
              <w:spacing w:before="40" w:after="40"/>
              <w:jc w:val="center"/>
              <w:rPr>
                <w:sz w:val="17"/>
                <w:szCs w:val="17"/>
              </w:rPr>
            </w:pPr>
            <w:r>
              <w:rPr>
                <w:sz w:val="17"/>
                <w:szCs w:val="17"/>
              </w:rPr>
              <w:t>Modifications suites à remarques émises par le MOA (mail du 11/03/2026)</w:t>
            </w:r>
          </w:p>
        </w:tc>
        <w:tc>
          <w:tcPr>
            <w:tcW w:w="1187" w:type="dxa"/>
            <w:tcBorders>
              <w:top w:val="dotted" w:sz="4" w:space="0" w:color="000000"/>
              <w:left w:val="dotted" w:sz="4" w:space="0" w:color="000000"/>
              <w:bottom w:val="dotted" w:sz="4" w:space="0" w:color="000000"/>
              <w:right w:val="dotted" w:sz="4" w:space="0" w:color="000000"/>
            </w:tcBorders>
            <w:vAlign w:val="center"/>
          </w:tcPr>
          <w:p>
            <w:pPr>
              <w:pStyle w:val="Normal"/>
              <w:widowControl w:val="false"/>
              <w:spacing w:before="40" w:after="40"/>
              <w:jc w:val="center"/>
              <w:rPr>
                <w:sz w:val="17"/>
                <w:szCs w:val="17"/>
              </w:rPr>
            </w:pPr>
            <w:r>
              <w:rPr>
                <w:sz w:val="17"/>
                <w:szCs w:val="17"/>
              </w:rPr>
              <w:t>Y. ANDELA</w:t>
            </w:r>
          </w:p>
        </w:tc>
        <w:tc>
          <w:tcPr>
            <w:tcW w:w="1221" w:type="dxa"/>
            <w:tcBorders>
              <w:top w:val="dotted" w:sz="4" w:space="0" w:color="000000"/>
              <w:left w:val="dotted" w:sz="4" w:space="0" w:color="000000"/>
              <w:bottom w:val="dotted" w:sz="4" w:space="0" w:color="000000"/>
              <w:right w:val="dotted" w:sz="4" w:space="0" w:color="000000"/>
            </w:tcBorders>
            <w:vAlign w:val="center"/>
          </w:tcPr>
          <w:p>
            <w:pPr>
              <w:pStyle w:val="Normal"/>
              <w:widowControl w:val="false"/>
              <w:spacing w:before="40" w:after="40"/>
              <w:jc w:val="center"/>
              <w:rPr>
                <w:sz w:val="17"/>
                <w:szCs w:val="17"/>
              </w:rPr>
            </w:pPr>
            <w:r>
              <w:rPr>
                <w:sz w:val="17"/>
                <w:szCs w:val="17"/>
              </w:rPr>
              <w:t>S. RIBANO</w:t>
            </w:r>
          </w:p>
        </w:tc>
        <w:tc>
          <w:tcPr>
            <w:tcW w:w="1344" w:type="dxa"/>
            <w:tcBorders>
              <w:top w:val="dotted" w:sz="4" w:space="0" w:color="000000"/>
              <w:left w:val="dotted" w:sz="4" w:space="0" w:color="000000"/>
              <w:bottom w:val="dotted" w:sz="4" w:space="0" w:color="000000"/>
              <w:right w:val="dotted" w:sz="4" w:space="0" w:color="000000"/>
            </w:tcBorders>
            <w:vAlign w:val="center"/>
          </w:tcPr>
          <w:p>
            <w:pPr>
              <w:pStyle w:val="Normal"/>
              <w:widowControl w:val="false"/>
              <w:spacing w:before="40" w:after="40"/>
              <w:jc w:val="center"/>
              <w:rPr>
                <w:sz w:val="17"/>
                <w:szCs w:val="17"/>
              </w:rPr>
            </w:pPr>
            <w:r>
              <w:rPr>
                <w:sz w:val="17"/>
                <w:szCs w:val="17"/>
              </w:rPr>
              <w:t>M. CARDIN</w:t>
            </w:r>
          </w:p>
        </w:tc>
      </w:tr>
      <w:tr>
        <w:trPr>
          <w:trHeight w:val="284" w:hRule="atLeast"/>
        </w:trPr>
        <w:tc>
          <w:tcPr>
            <w:tcW w:w="834" w:type="dxa"/>
            <w:tcBorders>
              <w:left w:val="dotted" w:sz="4" w:space="0" w:color="000000"/>
              <w:bottom w:val="dotted" w:sz="4" w:space="0" w:color="000000"/>
              <w:right w:val="dotted" w:sz="4" w:space="0" w:color="000000"/>
            </w:tcBorders>
            <w:vAlign w:val="center"/>
          </w:tcPr>
          <w:p>
            <w:pPr>
              <w:pStyle w:val="Normal"/>
              <w:widowControl w:val="false"/>
              <w:spacing w:before="40" w:after="40"/>
              <w:jc w:val="center"/>
              <w:rPr>
                <w:bCs/>
                <w:sz w:val="17"/>
                <w:szCs w:val="17"/>
              </w:rPr>
            </w:pPr>
            <w:r>
              <w:rPr>
                <w:bCs/>
                <w:sz w:val="17"/>
                <w:szCs w:val="17"/>
              </w:rPr>
              <w:t>C-01</w:t>
            </w:r>
          </w:p>
        </w:tc>
        <w:tc>
          <w:tcPr>
            <w:tcW w:w="1160" w:type="dxa"/>
            <w:tcBorders>
              <w:left w:val="dotted" w:sz="4" w:space="0" w:color="000000"/>
              <w:bottom w:val="dotted" w:sz="4" w:space="0" w:color="000000"/>
              <w:right w:val="dotted" w:sz="4" w:space="0" w:color="000000"/>
            </w:tcBorders>
            <w:vAlign w:val="center"/>
          </w:tcPr>
          <w:p>
            <w:pPr>
              <w:pStyle w:val="Normal"/>
              <w:widowControl w:val="false"/>
              <w:spacing w:before="40" w:after="40"/>
              <w:jc w:val="center"/>
              <w:rPr>
                <w:sz w:val="17"/>
                <w:szCs w:val="17"/>
              </w:rPr>
            </w:pPr>
            <w:r>
              <w:rPr>
                <w:sz w:val="17"/>
                <w:szCs w:val="17"/>
              </w:rPr>
              <w:t>01/04/2026</w:t>
            </w:r>
          </w:p>
        </w:tc>
        <w:tc>
          <w:tcPr>
            <w:tcW w:w="4178" w:type="dxa"/>
            <w:tcBorders>
              <w:left w:val="dotted" w:sz="4" w:space="0" w:color="000000"/>
              <w:bottom w:val="dotted" w:sz="4" w:space="0" w:color="000000"/>
              <w:right w:val="dotted" w:sz="4" w:space="0" w:color="000000"/>
            </w:tcBorders>
            <w:vAlign w:val="center"/>
          </w:tcPr>
          <w:p>
            <w:pPr>
              <w:pStyle w:val="Normal"/>
              <w:widowControl w:val="false"/>
              <w:spacing w:before="40" w:after="40"/>
              <w:jc w:val="center"/>
              <w:rPr>
                <w:sz w:val="17"/>
                <w:szCs w:val="17"/>
              </w:rPr>
            </w:pPr>
            <w:r>
              <w:rPr>
                <w:sz w:val="17"/>
                <w:szCs w:val="17"/>
              </w:rPr>
              <w:t>Ajout suite à remarques MOA</w:t>
            </w:r>
          </w:p>
        </w:tc>
        <w:tc>
          <w:tcPr>
            <w:tcW w:w="1187" w:type="dxa"/>
            <w:tcBorders>
              <w:left w:val="dotted" w:sz="4" w:space="0" w:color="000000"/>
              <w:bottom w:val="dotted" w:sz="4" w:space="0" w:color="000000"/>
              <w:right w:val="dotted" w:sz="4" w:space="0" w:color="000000"/>
            </w:tcBorders>
            <w:vAlign w:val="center"/>
          </w:tcPr>
          <w:p>
            <w:pPr>
              <w:pStyle w:val="Normal"/>
              <w:widowControl w:val="false"/>
              <w:spacing w:before="40" w:after="40"/>
              <w:jc w:val="center"/>
              <w:rPr>
                <w:sz w:val="17"/>
                <w:szCs w:val="17"/>
              </w:rPr>
            </w:pPr>
            <w:r>
              <w:rPr>
                <w:sz w:val="17"/>
                <w:szCs w:val="17"/>
              </w:rPr>
            </w:r>
          </w:p>
        </w:tc>
        <w:tc>
          <w:tcPr>
            <w:tcW w:w="1221" w:type="dxa"/>
            <w:tcBorders>
              <w:left w:val="dotted" w:sz="4" w:space="0" w:color="000000"/>
              <w:bottom w:val="dotted" w:sz="4" w:space="0" w:color="000000"/>
              <w:right w:val="dotted" w:sz="4" w:space="0" w:color="000000"/>
            </w:tcBorders>
            <w:vAlign w:val="center"/>
          </w:tcPr>
          <w:p>
            <w:pPr>
              <w:pStyle w:val="Normal"/>
              <w:widowControl w:val="false"/>
              <w:spacing w:before="40" w:after="40"/>
              <w:jc w:val="center"/>
              <w:rPr>
                <w:sz w:val="17"/>
                <w:szCs w:val="17"/>
              </w:rPr>
            </w:pPr>
            <w:r>
              <w:rPr>
                <w:sz w:val="17"/>
                <w:szCs w:val="17"/>
              </w:rPr>
            </w:r>
          </w:p>
        </w:tc>
        <w:tc>
          <w:tcPr>
            <w:tcW w:w="1344" w:type="dxa"/>
            <w:tcBorders>
              <w:left w:val="dotted" w:sz="4" w:space="0" w:color="000000"/>
              <w:bottom w:val="dotted" w:sz="4" w:space="0" w:color="000000"/>
              <w:right w:val="dotted" w:sz="4" w:space="0" w:color="000000"/>
            </w:tcBorders>
            <w:vAlign w:val="center"/>
          </w:tcPr>
          <w:p>
            <w:pPr>
              <w:pStyle w:val="Normal"/>
              <w:widowControl w:val="false"/>
              <w:spacing w:before="40" w:after="40"/>
              <w:jc w:val="center"/>
              <w:rPr>
                <w:sz w:val="17"/>
                <w:szCs w:val="17"/>
              </w:rPr>
            </w:pPr>
            <w:r>
              <w:rPr>
                <w:sz w:val="17"/>
                <w:szCs w:val="17"/>
              </w:rPr>
            </w:r>
          </w:p>
        </w:tc>
      </w:tr>
    </w:tbl>
    <w:p>
      <w:pPr>
        <w:pStyle w:val="Normal"/>
        <w:spacing w:before="0" w:after="0"/>
        <w:rPr/>
      </w:pPr>
      <w:r>
        <w:rPr/>
      </w:r>
    </w:p>
    <w:p>
      <w:pPr>
        <w:pStyle w:val="Normal"/>
        <w:rPr/>
        <w:sectPr>
          <w:headerReference w:type="default" r:id="rId4"/>
          <w:footerReference w:type="default" r:id="rId5"/>
          <w:type w:val="nextPage"/>
          <w:pgSz w:w="11906" w:h="16838"/>
          <w:pgMar w:left="720" w:right="720" w:gutter="0" w:header="539" w:top="1949" w:footer="580" w:bottom="720"/>
          <w:pgNumType w:fmt="decimal"/>
          <w:formProt w:val="false"/>
          <w:textDirection w:val="lrTb"/>
          <w:docGrid w:type="default" w:linePitch="360" w:charSpace="16384"/>
        </w:sectPr>
      </w:pPr>
      <w:r>
        <w:rPr/>
      </w:r>
    </w:p>
    <w:p>
      <w:pPr>
        <w:pStyle w:val="Normal"/>
        <w:rPr>
          <w:sz w:val="22"/>
        </w:rPr>
      </w:pPr>
      <w:r>
        <w:rPr>
          <w:sz w:val="22"/>
        </w:rPr>
        <mc:AlternateContent>
          <mc:Choice Requires="wps">
            <w:drawing>
              <wp:anchor distT="10160" distB="10160" distL="10795" distR="9525" simplePos="0" relativeHeight="136" behindDoc="0" locked="0" layoutInCell="1" allowOverlap="1">
                <wp:simplePos x="0" y="0"/>
                <wp:positionH relativeFrom="column">
                  <wp:posOffset>-457200</wp:posOffset>
                </wp:positionH>
                <wp:positionV relativeFrom="paragraph">
                  <wp:posOffset>-59055</wp:posOffset>
                </wp:positionV>
                <wp:extent cx="6725285" cy="346710"/>
                <wp:effectExtent l="10795" t="10160" r="9525" b="10160"/>
                <wp:wrapNone/>
                <wp:docPr id="9" name="Rectangle : coins arrondis 9"/>
                <a:graphic xmlns:a="http://schemas.openxmlformats.org/drawingml/2006/main">
                  <a:graphicData uri="http://schemas.microsoft.com/office/word/2010/wordprocessingShape">
                    <wps:wsp>
                      <wps:cNvSpPr/>
                      <wps:spPr>
                        <a:xfrm>
                          <a:off x="0" y="0"/>
                          <a:ext cx="6725160" cy="346680"/>
                        </a:xfrm>
                        <a:prstGeom prst="roundRect">
                          <a:avLst>
                            <a:gd name="adj" fmla="val 16667"/>
                          </a:avLst>
                        </a:prstGeom>
                        <a:noFill/>
                        <a:ln w="19080">
                          <a:solidFill>
                            <a:srgbClr val="BFBFBF"/>
                          </a:solidFill>
                          <a:round/>
                        </a:ln>
                      </wps:spPr>
                      <wps:style>
                        <a:lnRef idx="0"/>
                        <a:fillRef idx="0"/>
                        <a:effectRef idx="0"/>
                        <a:fontRef idx="minor"/>
                      </wps:style>
                      <wps:txbx>
                        <w:txbxContent>
                          <w:p>
                            <w:pPr>
                              <w:pStyle w:val="Contenudecadre"/>
                              <w:spacing w:before="0" w:after="240"/>
                              <w:jc w:val="center"/>
                              <w:rPr/>
                            </w:pPr>
                            <w:r>
                              <w:rPr>
                                <w:rFonts w:eastAsia="SimSun"/>
                                <w:b/>
                                <w:color w:val="000000"/>
                                <w:sz w:val="32"/>
                                <w:szCs w:val="32"/>
                                <w:lang w:eastAsia="zh-CN"/>
                              </w:rPr>
                              <w:t>TABLE DES MATIÈRES</w:t>
                            </w:r>
                          </w:p>
                        </w:txbxContent>
                      </wps:txbx>
                      <wps:bodyPr anchor="t">
                        <a:noAutofit/>
                      </wps:bodyPr>
                    </wps:wsp>
                  </a:graphicData>
                </a:graphic>
              </wp:anchor>
            </w:drawing>
          </mc:Choice>
          <mc:Fallback>
            <w:pict>
              <v:roundrect id="shape_0" stroked="t" o:allowincell="f" style="position:absolute;margin-left:-36pt;margin-top:-4.65pt;width:529.5pt;height:27.25pt;mso-wrap-style:square;v-text-anchor:top">
                <v:fill o:detectmouseclick="t" on="false"/>
                <v:stroke color="#bfbfbf" weight="19080" joinstyle="round" endcap="flat"/>
                <v:textbox>
                  <w:txbxContent>
                    <w:p>
                      <w:pPr>
                        <w:pStyle w:val="Contenudecadre"/>
                        <w:spacing w:before="0" w:after="240"/>
                        <w:jc w:val="center"/>
                        <w:rPr/>
                      </w:pPr>
                      <w:r>
                        <w:rPr>
                          <w:rFonts w:eastAsia="SimSun"/>
                          <w:b/>
                          <w:color w:val="000000"/>
                          <w:sz w:val="32"/>
                          <w:szCs w:val="32"/>
                          <w:lang w:eastAsia="zh-CN"/>
                        </w:rPr>
                        <w:t>TABLE DES MATIÈRES</w:t>
                      </w:r>
                    </w:p>
                  </w:txbxContent>
                </v:textbox>
                <w10:wrap type="none"/>
              </v:roundrect>
            </w:pict>
          </mc:Fallback>
        </mc:AlternateContent>
      </w:r>
    </w:p>
    <w:p>
      <w:pPr>
        <w:pStyle w:val="Normal"/>
        <w:rPr/>
      </w:pPr>
      <w:r>
        <w:rPr/>
      </w:r>
    </w:p>
    <w:sdt>
      <w:sdtPr>
        <w:docPartObj>
          <w:docPartGallery w:val="Table of Contents"/>
          <w:docPartUnique w:val="true"/>
        </w:docPartObj>
      </w:sdtPr>
      <w:sdtContent>
        <w:p>
          <w:pPr>
            <w:pStyle w:val="TOC1"/>
            <w:tabs>
              <w:tab w:val="clear" w:pos="1320"/>
              <w:tab w:val="clear" w:pos="9062"/>
              <w:tab w:val="right" w:pos="9071" w:leader="dot"/>
            </w:tabs>
            <w:rPr/>
          </w:pPr>
          <w:r>
            <w:fldChar w:fldCharType="begin"/>
          </w:r>
          <w:r>
            <w:rPr>
              <w:rStyle w:val="Sautdindex"/>
            </w:rPr>
            <w:instrText xml:space="preserve"> TOC \o "1-3" \h</w:instrText>
          </w:r>
          <w:r>
            <w:rPr>
              <w:rStyle w:val="Sautdindex"/>
            </w:rPr>
            <w:fldChar w:fldCharType="separate"/>
          </w:r>
          <w:hyperlink w:anchor="__RefHeading___Toc8870_2322646747" w:tooltip="Avertissement">
            <w:r>
              <w:rPr>
                <w:rStyle w:val="Sautdindex"/>
              </w:rPr>
              <w:t>ARTICLE 0. Avertissement</w:t>
              <w:tab/>
              <w:t>3</w:t>
            </w:r>
          </w:hyperlink>
        </w:p>
        <w:p>
          <w:pPr>
            <w:pStyle w:val="TOC1"/>
            <w:tabs>
              <w:tab w:val="clear" w:pos="1320"/>
              <w:tab w:val="clear" w:pos="9062"/>
              <w:tab w:val="right" w:pos="9071" w:leader="dot"/>
            </w:tabs>
            <w:rPr/>
          </w:pPr>
          <w:hyperlink w:anchor="__RefHeading___Toc8872_2322646747" w:tooltip="Prix Généraux">
            <w:r>
              <w:rPr>
                <w:rStyle w:val="Sautdindex"/>
              </w:rPr>
              <w:t>ARTICLE 100. Prix Généraux</w:t>
              <w:tab/>
              <w:t>4</w:t>
            </w:r>
          </w:hyperlink>
        </w:p>
        <w:p>
          <w:pPr>
            <w:pStyle w:val="TOC1"/>
            <w:tabs>
              <w:tab w:val="clear" w:pos="1320"/>
              <w:tab w:val="clear" w:pos="9062"/>
              <w:tab w:val="right" w:pos="9071" w:leader="dot"/>
            </w:tabs>
            <w:rPr/>
          </w:pPr>
          <w:hyperlink w:anchor="__RefHeading___Toc8874_2322646747" w:tooltip="Travaux de purge des verrières inférieures">
            <w:r>
              <w:rPr>
                <w:rStyle w:val="Sautdindex"/>
              </w:rPr>
              <w:t>ARTICLE 200. Travaux de purge des verrières inférieures</w:t>
              <w:tab/>
              <w:t>12</w:t>
            </w:r>
          </w:hyperlink>
        </w:p>
        <w:p>
          <w:pPr>
            <w:pStyle w:val="TOC1"/>
            <w:tabs>
              <w:tab w:val="clear" w:pos="1320"/>
              <w:tab w:val="clear" w:pos="9062"/>
              <w:tab w:val="right" w:pos="9071" w:leader="dot"/>
            </w:tabs>
            <w:rPr/>
          </w:pPr>
          <w:hyperlink w:anchor="__RefHeading___Toc8876_2322646747" w:tooltip="Installation d’un système de protection antichute horizontal">
            <w:r>
              <w:rPr>
                <w:rStyle w:val="Sautdindex"/>
              </w:rPr>
              <w:t>ARTICLE 300. Installation d’un système de protection antichute horizontal</w:t>
              <w:tab/>
              <w:t>17</w:t>
            </w:r>
          </w:hyperlink>
        </w:p>
        <w:p>
          <w:pPr>
            <w:pStyle w:val="TOC1"/>
            <w:tabs>
              <w:tab w:val="clear" w:pos="1320"/>
              <w:tab w:val="clear" w:pos="9062"/>
              <w:tab w:val="right" w:pos="9071" w:leader="dot"/>
            </w:tabs>
            <w:rPr/>
          </w:pPr>
          <w:hyperlink w:anchor="__RefHeading___Toc8878_2322646747" w:tooltip="Travaux de réparation sur poutres BUTONS">
            <w:r>
              <w:rPr>
                <w:rStyle w:val="Sautdindex"/>
              </w:rPr>
              <w:t>ARTICLE 400. Travaux de réparation sur poutres BUTONS</w:t>
              <w:tab/>
              <w:t>20</w:t>
            </w:r>
          </w:hyperlink>
        </w:p>
        <w:p>
          <w:pPr>
            <w:pStyle w:val="TOC1"/>
            <w:tabs>
              <w:tab w:val="clear" w:pos="1320"/>
              <w:tab w:val="clear" w:pos="9062"/>
              <w:tab w:val="right" w:pos="9071" w:leader="dot"/>
            </w:tabs>
            <w:rPr/>
          </w:pPr>
          <w:hyperlink w:anchor="__RefHeading___Toc8880_2322646747" w:tooltip="Travaux de dépose des verrières supérieures">
            <w:r>
              <w:rPr>
                <w:rStyle w:val="Sautdindex"/>
              </w:rPr>
              <w:t>ARTICLE 500. Travaux de dépose des verrières supérieures</w:t>
              <w:tab/>
              <w:t>26</w:t>
            </w:r>
          </w:hyperlink>
        </w:p>
        <w:p>
          <w:pPr>
            <w:pStyle w:val="TOC1"/>
            <w:tabs>
              <w:tab w:val="clear" w:pos="1320"/>
              <w:tab w:val="clear" w:pos="9062"/>
              <w:tab w:val="right" w:pos="9071" w:leader="dot"/>
            </w:tabs>
            <w:rPr/>
          </w:pPr>
          <w:hyperlink w:anchor="__RefHeading___Toc8882_2322646747" w:tooltip="Travaux de mise en œuvre du nouveau système anti-bruit">
            <w:r>
              <w:rPr>
                <w:rStyle w:val="Sautdindex"/>
              </w:rPr>
              <w:t>ARTICLE 600. Travaux de mise en œuvre du nouveau système anti-bruit</w:t>
              <w:tab/>
              <w:t>28</w:t>
            </w:r>
          </w:hyperlink>
          <w:r>
            <w:rPr>
              <w:rStyle w:val="Sautdindex"/>
            </w:rPr>
            <w:fldChar w:fldCharType="end"/>
          </w:r>
        </w:p>
      </w:sdtContent>
    </w:sdt>
    <w:p>
      <w:pPr>
        <w:pStyle w:val="TOC2"/>
        <w:rPr/>
      </w:pPr>
      <w:r>
        <w:rPr/>
      </w:r>
    </w:p>
    <w:p>
      <w:pPr>
        <w:pStyle w:val="Normal"/>
        <w:spacing w:before="0" w:after="0"/>
        <w:jc w:val="left"/>
        <w:rPr/>
      </w:pPr>
      <w:r>
        <w:rPr/>
      </w:r>
      <w:r>
        <w:br w:type="page"/>
      </w:r>
    </w:p>
    <w:p>
      <w:pPr>
        <w:pStyle w:val="Heading1"/>
        <w:ind w:hanging="0" w:left="0"/>
        <w:rPr/>
      </w:pPr>
      <w:bookmarkStart w:id="6" w:name="__RefHeading___Toc8870_2322646747"/>
      <w:bookmarkStart w:id="7" w:name="_Toc143532272"/>
      <w:bookmarkStart w:id="8" w:name="_Toc37151233"/>
      <w:bookmarkStart w:id="9" w:name="_Toc25074881"/>
      <w:bookmarkStart w:id="10" w:name="_Toc221868243"/>
      <w:bookmarkEnd w:id="6"/>
      <w:r>
        <w:rPr/>
        <w:t>Avertissement</w:t>
      </w:r>
      <w:bookmarkEnd w:id="7"/>
      <w:bookmarkEnd w:id="8"/>
      <w:bookmarkEnd w:id="9"/>
      <w:bookmarkEnd w:id="10"/>
    </w:p>
    <w:tbl>
      <w:tblPr>
        <w:tblW w:w="9071" w:type="dxa"/>
        <w:jc w:val="left"/>
        <w:tblInd w:w="108" w:type="dxa"/>
        <w:tblLayout w:type="fixed"/>
        <w:tblCellMar>
          <w:top w:w="0" w:type="dxa"/>
          <w:left w:w="108" w:type="dxa"/>
          <w:bottom w:w="0" w:type="dxa"/>
          <w:right w:w="108" w:type="dxa"/>
        </w:tblCellMar>
      </w:tblPr>
      <w:tblGrid>
        <w:gridCol w:w="1259"/>
        <w:gridCol w:w="7812"/>
      </w:tblGrid>
      <w:tr>
        <w:trPr>
          <w:tblHeader w:val="true"/>
        </w:trPr>
        <w:tc>
          <w:tcPr>
            <w:tcW w:w="1259" w:type="dxa"/>
            <w:tcBorders>
              <w:top w:val="single" w:sz="8" w:space="0" w:color="000000"/>
              <w:left w:val="single" w:sz="8" w:space="0" w:color="000000"/>
              <w:bottom w:val="single" w:sz="8" w:space="0" w:color="000000"/>
              <w:right w:val="single" w:sz="8" w:space="0" w:color="000000"/>
            </w:tcBorders>
            <w:shd w:fill="009782" w:val="clear"/>
            <w:vAlign w:val="center"/>
          </w:tcPr>
          <w:p>
            <w:pPr>
              <w:pStyle w:val="Normal"/>
              <w:widowControl w:val="false"/>
              <w:tabs>
                <w:tab w:val="clear" w:pos="708"/>
                <w:tab w:val="center" w:pos="4536" w:leader="none"/>
                <w:tab w:val="right" w:pos="9072" w:leader="none"/>
              </w:tabs>
              <w:spacing w:before="120" w:after="120"/>
              <w:jc w:val="center"/>
              <w:rPr>
                <w:b/>
                <w:bCs/>
                <w:i/>
                <w:color w:val="FFFFFF"/>
              </w:rPr>
            </w:pPr>
            <w:r>
              <w:rPr>
                <w:b/>
                <w:bCs/>
                <w:i/>
                <w:color w:val="FFFFFF"/>
              </w:rPr>
              <w:t>N° PRIX</w:t>
            </w:r>
          </w:p>
        </w:tc>
        <w:tc>
          <w:tcPr>
            <w:tcW w:w="7812" w:type="dxa"/>
            <w:tcBorders>
              <w:top w:val="single" w:sz="8" w:space="0" w:color="000000"/>
              <w:left w:val="single" w:sz="8" w:space="0" w:color="000000"/>
              <w:bottom w:val="single" w:sz="8" w:space="0" w:color="000000"/>
              <w:right w:val="single" w:sz="8" w:space="0" w:color="000000"/>
            </w:tcBorders>
            <w:shd w:fill="009782" w:val="clear"/>
            <w:vAlign w:val="center"/>
          </w:tcPr>
          <w:p>
            <w:pPr>
              <w:pStyle w:val="Normal"/>
              <w:widowControl w:val="false"/>
              <w:tabs>
                <w:tab w:val="clear" w:pos="708"/>
                <w:tab w:val="center" w:pos="4536" w:leader="none"/>
                <w:tab w:val="right" w:pos="9072" w:leader="none"/>
              </w:tabs>
              <w:spacing w:before="120" w:after="120"/>
              <w:jc w:val="center"/>
              <w:rPr>
                <w:b/>
                <w:bCs/>
                <w:i/>
                <w:color w:val="FFFFFF"/>
              </w:rPr>
            </w:pPr>
            <w:r>
              <w:rPr>
                <w:b/>
                <w:bCs/>
                <w:i/>
                <w:color w:val="FFFFFF"/>
              </w:rPr>
              <w:t>DESIGNATION DES OUVRAGES ET PRIX HORS TAXE</w:t>
            </w:r>
          </w:p>
        </w:tc>
      </w:tr>
      <w:tr>
        <w:trPr/>
        <w:tc>
          <w:tcPr>
            <w:tcW w:w="1259" w:type="dxa"/>
            <w:tcBorders>
              <w:top w:val="single" w:sz="8" w:space="0" w:color="000000"/>
              <w:left w:val="single" w:sz="8" w:space="0" w:color="000000"/>
              <w:bottom w:val="single" w:sz="8" w:space="0" w:color="000000"/>
              <w:right w:val="single" w:sz="8" w:space="0" w:color="000000"/>
            </w:tcBorders>
          </w:tcPr>
          <w:p>
            <w:pPr>
              <w:pStyle w:val="Normal"/>
              <w:widowControl w:val="false"/>
              <w:numPr>
                <w:ilvl w:val="0"/>
                <w:numId w:val="0"/>
              </w:numPr>
              <w:tabs>
                <w:tab w:val="clear" w:pos="708"/>
                <w:tab w:val="center" w:pos="4536" w:leader="none"/>
                <w:tab w:val="right" w:pos="9072" w:leader="none"/>
              </w:tabs>
              <w:spacing w:before="120" w:after="120"/>
              <w:ind w:hanging="0" w:left="0" w:right="0"/>
              <w:jc w:val="center"/>
              <w:outlineLvl w:val="1"/>
              <w:rPr>
                <w:b/>
                <w:bCs/>
              </w:rPr>
            </w:pPr>
            <w:r>
              <w:rPr>
                <w:b/>
                <w:bCs/>
              </w:rPr>
            </w:r>
          </w:p>
        </w:tc>
        <w:tc>
          <w:tcPr>
            <w:tcW w:w="7812" w:type="dxa"/>
            <w:tcBorders>
              <w:top w:val="single" w:sz="8" w:space="0" w:color="000000"/>
              <w:left w:val="single" w:sz="8" w:space="0" w:color="000000"/>
              <w:bottom w:val="single" w:sz="8" w:space="0" w:color="000000"/>
              <w:right w:val="single" w:sz="8" w:space="0" w:color="000000"/>
            </w:tcBorders>
          </w:tcPr>
          <w:p>
            <w:pPr>
              <w:pStyle w:val="Normal"/>
              <w:widowControl w:val="false"/>
              <w:spacing w:before="120" w:after="120"/>
              <w:ind w:hanging="0" w:left="74" w:right="0"/>
              <w:rPr/>
            </w:pPr>
            <w:r>
              <w:rPr/>
              <w:t>Les prix définis dans le présent bordereau des prix tiennent compte des stipulations de l’ensemble des pièces du marché et notamment des plans et du CCTP. Ils incluent les prestations du ou des organismes associés au contrôle intérieur et tiennent compte des sujétions du contrôle extérieur. Ils tiennent comptent aussi des coûts supplémentaires dus au travail réalisé sur plusieurs postes consécutifs ou les week-ends, nécessaires à la réalisation dans les délais de l'ouvrage, tenant compte des contraintes d’exploitation sur la section autoroutière concernée par les travaux et suivant l'organisation du travail de l'entreprise.</w:t>
            </w:r>
          </w:p>
          <w:p>
            <w:pPr>
              <w:pStyle w:val="Normal"/>
              <w:widowControl w:val="false"/>
              <w:rPr/>
            </w:pPr>
            <w:r>
              <w:rPr/>
              <w:t>Les prix du présent bordereau s’entendent hors taxes.</w:t>
            </w:r>
          </w:p>
          <w:p>
            <w:pPr>
              <w:pStyle w:val="Normal"/>
              <w:widowControl w:val="false"/>
              <w:rPr/>
            </w:pPr>
            <w:r>
              <w:rPr/>
            </w:r>
          </w:p>
          <w:p>
            <w:pPr>
              <w:pStyle w:val="Normal"/>
              <w:widowControl w:val="false"/>
              <w:rPr/>
            </w:pPr>
            <w:r>
              <w:rPr/>
              <w:t>Les prix incluent également :</w:t>
            </w:r>
          </w:p>
          <w:p>
            <w:pPr>
              <w:pStyle w:val="Normal"/>
              <w:widowControl w:val="false"/>
              <w:numPr>
                <w:ilvl w:val="0"/>
                <w:numId w:val="13"/>
              </w:numPr>
              <w:overflowPunct w:val="false"/>
              <w:spacing w:before="120" w:after="120"/>
              <w:ind w:hanging="357" w:left="998" w:right="0"/>
              <w:textAlignment w:val="baseline"/>
              <w:rPr/>
            </w:pPr>
            <w:r>
              <w:rPr/>
              <w:t>L’ensemble des frais de clôture, pour interdire l’accès au public et assurer la sécurité des ouvriers vis-à-vis des circulations, et de gardiennage du chantier pendant toute la durée des travaux ;</w:t>
            </w:r>
          </w:p>
          <w:p>
            <w:pPr>
              <w:pStyle w:val="Normal"/>
              <w:widowControl w:val="false"/>
              <w:numPr>
                <w:ilvl w:val="0"/>
                <w:numId w:val="13"/>
              </w:numPr>
              <w:overflowPunct w:val="false"/>
              <w:spacing w:before="120" w:after="120"/>
              <w:textAlignment w:val="baseline"/>
              <w:rPr/>
            </w:pPr>
            <w:r>
              <w:rPr/>
              <w:t>Des frais de récupération de stockage, d’évacuation et de traitement des déchets conformément aux normes et lois liées au respect de l’environnement ;</w:t>
            </w:r>
          </w:p>
          <w:p>
            <w:pPr>
              <w:pStyle w:val="Normal"/>
              <w:widowControl w:val="false"/>
              <w:numPr>
                <w:ilvl w:val="0"/>
                <w:numId w:val="13"/>
              </w:numPr>
              <w:overflowPunct w:val="false"/>
              <w:spacing w:before="120" w:after="120"/>
              <w:textAlignment w:val="baseline"/>
              <w:rPr/>
            </w:pPr>
            <w:r>
              <w:rPr/>
              <w:t>Toutes les fournitures de matériaux nécessaires à la réalisation des travaux, quand bien même celles-ci ne seraient pas explicitement listées ;</w:t>
            </w:r>
          </w:p>
          <w:p>
            <w:pPr>
              <w:pStyle w:val="Normal"/>
              <w:widowControl w:val="false"/>
              <w:numPr>
                <w:ilvl w:val="0"/>
                <w:numId w:val="13"/>
              </w:numPr>
              <w:overflowPunct w:val="false"/>
              <w:spacing w:before="120" w:after="120"/>
              <w:textAlignment w:val="baseline"/>
              <w:rPr/>
            </w:pPr>
            <w:r>
              <w:rPr/>
              <w:t>Les frais de fourniture d’énergie, d’air comprimé, d’éclairage pour les travaux de nuit, consommables et pièces d’usure ;</w:t>
            </w:r>
          </w:p>
          <w:p>
            <w:pPr>
              <w:pStyle w:val="Normal"/>
              <w:widowControl w:val="false"/>
              <w:numPr>
                <w:ilvl w:val="0"/>
                <w:numId w:val="13"/>
              </w:numPr>
              <w:overflowPunct w:val="false"/>
              <w:spacing w:before="120" w:after="120"/>
              <w:textAlignment w:val="baseline"/>
              <w:rPr/>
            </w:pPr>
            <w:r>
              <w:rPr/>
              <w:t>Des frais d’essais de contrôle ;</w:t>
            </w:r>
          </w:p>
          <w:p>
            <w:pPr>
              <w:pStyle w:val="Normal"/>
              <w:widowControl w:val="false"/>
              <w:numPr>
                <w:ilvl w:val="0"/>
                <w:numId w:val="13"/>
              </w:numPr>
              <w:overflowPunct w:val="false"/>
              <w:spacing w:before="120" w:after="120"/>
              <w:textAlignment w:val="baseline"/>
              <w:rPr/>
            </w:pPr>
            <w:r>
              <w:rPr/>
              <w:t>Les frais de contrôle intérieur ;</w:t>
            </w:r>
          </w:p>
          <w:p>
            <w:pPr>
              <w:pStyle w:val="Normal"/>
              <w:widowControl w:val="false"/>
              <w:numPr>
                <w:ilvl w:val="0"/>
                <w:numId w:val="13"/>
              </w:numPr>
              <w:overflowPunct w:val="false"/>
              <w:spacing w:before="120" w:after="120"/>
              <w:textAlignment w:val="baseline"/>
              <w:rPr/>
            </w:pPr>
            <w:r>
              <w:rPr/>
              <w:t>Des sujétions liées au phasage des travaux ;</w:t>
            </w:r>
          </w:p>
          <w:p>
            <w:pPr>
              <w:pStyle w:val="Normal"/>
              <w:widowControl w:val="false"/>
              <w:numPr>
                <w:ilvl w:val="0"/>
                <w:numId w:val="13"/>
              </w:numPr>
              <w:overflowPunct w:val="false"/>
              <w:spacing w:before="120" w:after="120"/>
              <w:textAlignment w:val="baseline"/>
              <w:rPr/>
            </w:pPr>
            <w:r>
              <w:rPr/>
              <w:t>Les sujétions liées à la présence de réseaux sur et à proximité de l’ouvrage.</w:t>
            </w:r>
          </w:p>
          <w:p>
            <w:pPr>
              <w:pStyle w:val="Normal"/>
              <w:widowControl w:val="false"/>
              <w:spacing w:before="0" w:after="120"/>
              <w:rPr>
                <w:rFonts w:eastAsia="Cambria" w:cs="Arial"/>
                <w:b/>
                <w:bCs/>
                <w:lang w:eastAsia="en-US"/>
              </w:rPr>
            </w:pPr>
            <w:r>
              <w:rPr>
                <w:rFonts w:eastAsia="Cambria" w:cs="Arial"/>
                <w:b/>
                <w:bCs/>
                <w:lang w:eastAsia="en-US"/>
              </w:rPr>
            </w:r>
          </w:p>
        </w:tc>
      </w:tr>
    </w:tbl>
    <w:p>
      <w:pPr>
        <w:pStyle w:val="Normal"/>
        <w:spacing w:before="0" w:after="0"/>
        <w:jc w:val="left"/>
        <w:rPr/>
      </w:pPr>
      <w:r>
        <w:rPr/>
      </w:r>
      <w:r>
        <w:br w:type="page"/>
      </w:r>
    </w:p>
    <w:p>
      <w:pPr>
        <w:pStyle w:val="Heading1"/>
        <w:numPr>
          <w:ilvl w:val="0"/>
          <w:numId w:val="25"/>
        </w:numPr>
        <w:rPr/>
      </w:pPr>
      <w:bookmarkStart w:id="11" w:name="__RefHeading___Toc8872_2322646747"/>
      <w:bookmarkStart w:id="12" w:name="_Toc221868244"/>
      <w:bookmarkEnd w:id="11"/>
      <w:r>
        <w:rPr/>
        <w:t>Prix Généraux</w:t>
      </w:r>
      <w:bookmarkEnd w:id="12"/>
    </w:p>
    <w:tbl>
      <w:tblPr>
        <w:tblW w:w="9071" w:type="dxa"/>
        <w:jc w:val="left"/>
        <w:tblInd w:w="108" w:type="dxa"/>
        <w:tblLayout w:type="fixed"/>
        <w:tblCellMar>
          <w:top w:w="0" w:type="dxa"/>
          <w:left w:w="108" w:type="dxa"/>
          <w:bottom w:w="0" w:type="dxa"/>
          <w:right w:w="108" w:type="dxa"/>
        </w:tblCellMar>
      </w:tblPr>
      <w:tblGrid>
        <w:gridCol w:w="1259"/>
        <w:gridCol w:w="5221"/>
        <w:gridCol w:w="2591"/>
      </w:tblGrid>
      <w:tr>
        <w:trPr>
          <w:tblHeader w:val="true"/>
        </w:trPr>
        <w:tc>
          <w:tcPr>
            <w:tcW w:w="1259" w:type="dxa"/>
            <w:tcBorders>
              <w:top w:val="single" w:sz="8" w:space="0" w:color="000000"/>
              <w:left w:val="single" w:sz="8" w:space="0" w:color="000000"/>
              <w:bottom w:val="single" w:sz="8" w:space="0" w:color="000000"/>
              <w:right w:val="single" w:sz="8" w:space="0" w:color="000000"/>
            </w:tcBorders>
            <w:shd w:fill="009782" w:val="clear"/>
            <w:vAlign w:val="center"/>
          </w:tcPr>
          <w:p>
            <w:pPr>
              <w:pStyle w:val="Normal"/>
              <w:widowControl w:val="false"/>
              <w:tabs>
                <w:tab w:val="clear" w:pos="708"/>
                <w:tab w:val="center" w:pos="4536" w:leader="none"/>
                <w:tab w:val="right" w:pos="9072" w:leader="none"/>
              </w:tabs>
              <w:spacing w:before="120" w:after="120"/>
              <w:jc w:val="center"/>
              <w:rPr>
                <w:b/>
                <w:bCs/>
                <w:i/>
                <w:color w:val="FFFFFF"/>
              </w:rPr>
            </w:pPr>
            <w:r>
              <w:rPr>
                <w:b/>
                <w:bCs/>
                <w:i/>
                <w:color w:val="FFFFFF"/>
              </w:rPr>
              <w:t>N° PRIX</w:t>
            </w:r>
          </w:p>
        </w:tc>
        <w:tc>
          <w:tcPr>
            <w:tcW w:w="7812" w:type="dxa"/>
            <w:gridSpan w:val="2"/>
            <w:tcBorders>
              <w:top w:val="single" w:sz="8" w:space="0" w:color="000000"/>
              <w:left w:val="single" w:sz="8" w:space="0" w:color="000000"/>
              <w:bottom w:val="single" w:sz="8" w:space="0" w:color="000000"/>
              <w:right w:val="single" w:sz="8" w:space="0" w:color="000000"/>
            </w:tcBorders>
            <w:shd w:fill="009782" w:val="clear"/>
            <w:vAlign w:val="center"/>
          </w:tcPr>
          <w:p>
            <w:pPr>
              <w:pStyle w:val="Normal"/>
              <w:widowControl w:val="false"/>
              <w:tabs>
                <w:tab w:val="clear" w:pos="708"/>
                <w:tab w:val="center" w:pos="4536" w:leader="none"/>
                <w:tab w:val="right" w:pos="9072" w:leader="none"/>
              </w:tabs>
              <w:spacing w:before="120" w:after="120"/>
              <w:jc w:val="center"/>
              <w:rPr>
                <w:b/>
                <w:bCs/>
                <w:i/>
                <w:color w:val="FFFFFF"/>
              </w:rPr>
            </w:pPr>
            <w:r>
              <w:rPr>
                <w:b/>
                <w:bCs/>
                <w:i/>
                <w:color w:val="FFFFFF"/>
              </w:rPr>
              <w:t>DESIGNATION DES OUVRAGES ET PRIX HORS TAXE</w:t>
            </w:r>
          </w:p>
        </w:tc>
      </w:tr>
      <w:tr>
        <w:trPr/>
        <w:tc>
          <w:tcPr>
            <w:tcW w:w="1259" w:type="dxa"/>
            <w:vMerge w:val="restart"/>
            <w:tcBorders>
              <w:top w:val="single" w:sz="8" w:space="0" w:color="000000"/>
              <w:left w:val="single" w:sz="8" w:space="0" w:color="000000"/>
              <w:bottom w:val="single" w:sz="8" w:space="0" w:color="000000"/>
              <w:right w:val="single" w:sz="8" w:space="0" w:color="000000"/>
            </w:tcBorders>
          </w:tcPr>
          <w:p>
            <w:pPr>
              <w:pStyle w:val="Normal"/>
              <w:widowControl w:val="false"/>
              <w:spacing w:before="0" w:after="120"/>
              <w:jc w:val="center"/>
              <w:rPr>
                <w:b/>
              </w:rPr>
            </w:pPr>
            <w:r>
              <w:rPr>
                <w:b/>
              </w:rPr>
              <w:t>101</w:t>
            </w:r>
          </w:p>
        </w:tc>
        <w:tc>
          <w:tcPr>
            <w:tcW w:w="7812" w:type="dxa"/>
            <w:gridSpan w:val="2"/>
            <w:tcBorders>
              <w:top w:val="single" w:sz="8" w:space="0" w:color="000000"/>
              <w:left w:val="single" w:sz="8" w:space="0" w:color="000000"/>
              <w:bottom w:val="single" w:sz="8" w:space="0" w:color="000000"/>
              <w:right w:val="single" w:sz="8" w:space="0" w:color="000000"/>
            </w:tcBorders>
          </w:tcPr>
          <w:p>
            <w:pPr>
              <w:pStyle w:val="Subtitle"/>
              <w:widowControl w:val="false"/>
              <w:rPr>
                <w:rFonts w:ascii="Arial" w:hAnsi="Arial" w:eastAsia="Times New Roman" w:cs="Times New Roman"/>
                <w:b/>
                <w:bCs/>
                <w:smallCaps/>
                <w:color w:val="339966"/>
                <w:spacing w:val="-6"/>
                <w:sz w:val="24"/>
                <w:szCs w:val="24"/>
              </w:rPr>
            </w:pPr>
            <w:bookmarkStart w:id="13" w:name="_Toc37151235"/>
            <w:bookmarkStart w:id="14" w:name="_Toc25074883"/>
            <w:bookmarkStart w:id="15" w:name="_Toc143532274"/>
            <w:r>
              <w:rPr>
                <w:rFonts w:eastAsia="Times New Roman" w:cs="Times New Roman" w:ascii="Arial" w:hAnsi="Arial"/>
                <w:b/>
                <w:bCs/>
                <w:smallCaps/>
                <w:color w:val="339966"/>
                <w:spacing w:val="-6"/>
                <w:sz w:val="24"/>
                <w:szCs w:val="24"/>
              </w:rPr>
              <w:t>Installations et repliements de chantier</w:t>
            </w:r>
            <w:bookmarkEnd w:id="13"/>
            <w:bookmarkEnd w:id="14"/>
            <w:bookmarkEnd w:id="15"/>
          </w:p>
          <w:p>
            <w:pPr>
              <w:pStyle w:val="Normal"/>
              <w:widowControl w:val="false"/>
              <w:rPr>
                <w:rFonts w:cs="Arial"/>
                <w:szCs w:val="22"/>
              </w:rPr>
            </w:pPr>
            <w:r>
              <w:rPr>
                <w:rFonts w:cs="Arial"/>
                <w:szCs w:val="22"/>
              </w:rPr>
              <w:t>Ce prix rémunère, au forfait, l’installation et le repliement de chantier nécessaire aux travaux sur l’ouvrage, la tranchée couverte de Chastaingt située sur l’autoroute A20.</w:t>
            </w:r>
          </w:p>
          <w:p>
            <w:pPr>
              <w:pStyle w:val="Normal"/>
              <w:widowControl w:val="false"/>
              <w:rPr>
                <w:rFonts w:cs="Arial"/>
                <w:szCs w:val="22"/>
              </w:rPr>
            </w:pPr>
            <w:r>
              <w:rPr>
                <w:rFonts w:cs="Arial"/>
                <w:szCs w:val="22"/>
              </w:rPr>
              <w:t>Il comprend toutes les prestations définies aux articles 4.1.1 du CCTP et plus particulièrement :</w:t>
            </w:r>
          </w:p>
          <w:p>
            <w:pPr>
              <w:pStyle w:val="Normal"/>
              <w:widowControl w:val="false"/>
              <w:numPr>
                <w:ilvl w:val="0"/>
                <w:numId w:val="14"/>
              </w:numPr>
              <w:spacing w:before="120" w:after="120"/>
              <w:rPr>
                <w:rFonts w:cs="Arial"/>
                <w:szCs w:val="22"/>
              </w:rPr>
            </w:pPr>
            <w:r>
              <w:rPr>
                <w:rFonts w:cs="Arial"/>
                <w:szCs w:val="22"/>
              </w:rPr>
              <w:t>Les frais relatifs aux dispositions à prendre en matière d'hygiène et de sécurité, conformément aux règlements en vigueur et aux règles propres aux interventions, ainsi qu'aux exigences liées à chaque nature spécifique d'intervention ;</w:t>
            </w:r>
          </w:p>
          <w:p>
            <w:pPr>
              <w:pStyle w:val="Normal"/>
              <w:widowControl w:val="false"/>
              <w:numPr>
                <w:ilvl w:val="0"/>
                <w:numId w:val="14"/>
              </w:numPr>
              <w:spacing w:before="120" w:after="120"/>
              <w:rPr/>
            </w:pPr>
            <w:r>
              <w:rPr>
                <w:rFonts w:cs="Arial"/>
                <w:szCs w:val="22"/>
              </w:rPr>
              <w:t>L'établissement d'une Déclaration d'Intention de Commencement des Travaux (DICT) adressée aux différents gestionnaires et l</w:t>
            </w:r>
            <w:r>
              <w:rPr/>
              <w:t>’ensemble des mesures nécessaires pour le soutien des réseaux, des canalisations et conduites et pour leur maintien en service ;</w:t>
            </w:r>
          </w:p>
          <w:p>
            <w:pPr>
              <w:pStyle w:val="ListParagraph"/>
              <w:widowControl w:val="false"/>
              <w:numPr>
                <w:ilvl w:val="0"/>
                <w:numId w:val="14"/>
              </w:numPr>
              <w:spacing w:lineRule="auto" w:line="276" w:before="80" w:after="80"/>
              <w:rPr>
                <w:rFonts w:ascii="Helvetica" w:hAnsi="Helvetica" w:cs="Helvetica"/>
              </w:rPr>
            </w:pPr>
            <w:r>
              <w:rPr>
                <w:rFonts w:cs="Helvetica" w:ascii="Helvetica" w:hAnsi="Helvetica"/>
              </w:rPr>
              <w:t>Le constat contradictoire de toutes les installations avant démarrage du chantier ;</w:t>
            </w:r>
          </w:p>
          <w:p>
            <w:pPr>
              <w:pStyle w:val="ListParagraph"/>
              <w:widowControl w:val="false"/>
              <w:numPr>
                <w:ilvl w:val="0"/>
                <w:numId w:val="14"/>
              </w:numPr>
              <w:spacing w:lineRule="auto" w:line="276" w:before="80" w:after="80"/>
              <w:rPr>
                <w:rFonts w:ascii="Helvetica" w:hAnsi="Helvetica" w:cs="Helvetica"/>
              </w:rPr>
            </w:pPr>
            <w:r>
              <w:rPr>
                <w:rFonts w:cs="Helvetica" w:ascii="Helvetica" w:hAnsi="Helvetica"/>
              </w:rPr>
              <w:t>L'aménagement des accès et du terrain mis à disposition de l’entreprise pour la mise en place des installations de chantier et le stockage du matériel et des matériaux, ainsi que les travaux de réfection, consolidation et mise en conformité des terrains ;</w:t>
            </w:r>
          </w:p>
          <w:p>
            <w:pPr>
              <w:pStyle w:val="ListParagraph"/>
              <w:widowControl w:val="false"/>
              <w:numPr>
                <w:ilvl w:val="0"/>
                <w:numId w:val="14"/>
              </w:numPr>
              <w:spacing w:lineRule="auto" w:line="276" w:before="80" w:after="80"/>
              <w:rPr>
                <w:rFonts w:ascii="Helvetica" w:hAnsi="Helvetica" w:cs="Helvetica"/>
              </w:rPr>
            </w:pPr>
            <w:r>
              <w:rPr>
                <w:rFonts w:cs="Helvetica" w:ascii="Helvetica" w:hAnsi="Helvetica"/>
              </w:rPr>
              <w:t>Les indemnités d’occupation des terrains ainsi que l’aménagement de ces derniers, y compris les démarches administratives, les formalités juridiques ainsi que les travaux de réfection, consolidation et mise en conformité des terrains ;</w:t>
            </w:r>
          </w:p>
          <w:p>
            <w:pPr>
              <w:pStyle w:val="ListParagraph"/>
              <w:widowControl w:val="false"/>
              <w:numPr>
                <w:ilvl w:val="0"/>
                <w:numId w:val="14"/>
              </w:numPr>
              <w:spacing w:lineRule="auto" w:line="276" w:before="80" w:after="80"/>
              <w:rPr/>
            </w:pPr>
            <w:r>
              <w:rPr/>
              <w:t>Une salle de réunion de 15 m² minimum, y compris le chauffage, la climatisation, l'éclairage, la connexion internet et l'entretien.</w:t>
            </w:r>
          </w:p>
          <w:p>
            <w:pPr>
              <w:pStyle w:val="ListParagraph"/>
              <w:widowControl w:val="false"/>
              <w:numPr>
                <w:ilvl w:val="0"/>
                <w:numId w:val="14"/>
              </w:numPr>
              <w:spacing w:lineRule="auto" w:line="276" w:before="80" w:after="80"/>
              <w:rPr/>
            </w:pPr>
            <w:r>
              <w:rPr/>
              <w:t>La réalisation de clôtures périphériques du chantier, leur maintien pendant toute la durée du chantier et leur ouverture et fermeture sous chaque passage de véhicule chantier ;</w:t>
            </w:r>
          </w:p>
          <w:p>
            <w:pPr>
              <w:pStyle w:val="ListParagraph"/>
              <w:widowControl w:val="false"/>
              <w:numPr>
                <w:ilvl w:val="0"/>
                <w:numId w:val="14"/>
              </w:numPr>
              <w:spacing w:lineRule="auto" w:line="276" w:before="80" w:after="80"/>
              <w:rPr>
                <w:rFonts w:ascii="Helvetica" w:hAnsi="Helvetica" w:cs="Helvetica"/>
              </w:rPr>
            </w:pPr>
            <w:r>
              <w:rPr>
                <w:rFonts w:cs="Helvetica" w:ascii="Helvetica" w:hAnsi="Helvetica"/>
              </w:rPr>
              <w:t>La mise en place de la signalisation réglementaire (panneaux, etc.) aux abords de l’installation de chantier ;</w:t>
            </w:r>
          </w:p>
          <w:p>
            <w:pPr>
              <w:pStyle w:val="ListParagraph"/>
              <w:widowControl w:val="false"/>
              <w:numPr>
                <w:ilvl w:val="0"/>
                <w:numId w:val="14"/>
              </w:numPr>
              <w:spacing w:lineRule="auto" w:line="276" w:before="80" w:after="80"/>
              <w:rPr/>
            </w:pPr>
            <w:r>
              <w:rPr/>
              <w:t>Les frais de gardiennage et la surveillance éventuelle du chantier de jour et de nuit ;</w:t>
            </w:r>
          </w:p>
          <w:p>
            <w:pPr>
              <w:pStyle w:val="ListParagraph"/>
              <w:widowControl w:val="false"/>
              <w:numPr>
                <w:ilvl w:val="0"/>
                <w:numId w:val="14"/>
              </w:numPr>
              <w:spacing w:lineRule="auto" w:line="276" w:before="80" w:after="80"/>
              <w:rPr/>
            </w:pPr>
            <w:r>
              <w:rPr/>
              <w:t>Les installations et déplacements éventuels des bureaux et baraquements de l'entreprise, des toilettes et les installations propres au personnel et au matériel de l'entreprise, conformément à la législation en vigueur ;</w:t>
            </w:r>
          </w:p>
          <w:p>
            <w:pPr>
              <w:pStyle w:val="Normal"/>
              <w:widowControl w:val="false"/>
              <w:numPr>
                <w:ilvl w:val="0"/>
                <w:numId w:val="14"/>
              </w:numPr>
              <w:spacing w:before="120" w:after="120"/>
              <w:rPr>
                <w:rFonts w:cs="Arial"/>
                <w:szCs w:val="22"/>
              </w:rPr>
            </w:pPr>
            <w:r>
              <w:rPr>
                <w:rFonts w:cs="Arial"/>
                <w:szCs w:val="22"/>
              </w:rPr>
              <w:t>Les frais d'exploitation de toutes les installations, tous les engins et matériels nécessaires à la réalisation des travaux de présent marché et au bon déroulement du chantier pour l'entrepreneur lui-même, son partenaire éventuel et ses sous-traitants ;</w:t>
            </w:r>
          </w:p>
          <w:p>
            <w:pPr>
              <w:pStyle w:val="ListParagraph"/>
              <w:widowControl w:val="false"/>
              <w:numPr>
                <w:ilvl w:val="0"/>
                <w:numId w:val="14"/>
              </w:numPr>
              <w:spacing w:lineRule="auto" w:line="276" w:before="80" w:after="80"/>
              <w:rPr>
                <w:rFonts w:ascii="Helvetica" w:hAnsi="Helvetica" w:cs="Helvetica"/>
              </w:rPr>
            </w:pPr>
            <w:r>
              <w:rPr>
                <w:rFonts w:cs="Helvetica" w:ascii="Helvetica" w:hAnsi="Helvetica"/>
              </w:rPr>
              <w:t>Le nettoyage permanent du chantier, des aires de stockage et de leurs abords, des voies de circulation et de chantier, et à la fin du chantier ;</w:t>
            </w:r>
          </w:p>
          <w:p>
            <w:pPr>
              <w:pStyle w:val="Normal"/>
              <w:widowControl w:val="false"/>
              <w:numPr>
                <w:ilvl w:val="0"/>
                <w:numId w:val="14"/>
              </w:numPr>
              <w:spacing w:before="120" w:after="120"/>
              <w:rPr>
                <w:rFonts w:cs="Arial"/>
                <w:szCs w:val="22"/>
              </w:rPr>
            </w:pPr>
            <w:r>
              <w:rPr>
                <w:rFonts w:cs="Arial"/>
                <w:szCs w:val="22"/>
              </w:rPr>
              <w:t>La prise en compte des contraintes d’exploitation, d’accès et environnementales ;</w:t>
            </w:r>
          </w:p>
          <w:p>
            <w:pPr>
              <w:pStyle w:val="ListParagraph"/>
              <w:widowControl w:val="false"/>
              <w:numPr>
                <w:ilvl w:val="0"/>
                <w:numId w:val="14"/>
              </w:numPr>
              <w:spacing w:lineRule="auto" w:line="276" w:before="80" w:after="80"/>
              <w:rPr>
                <w:rFonts w:ascii="Helvetica" w:hAnsi="Helvetica" w:cs="Helvetica"/>
              </w:rPr>
            </w:pPr>
            <w:r>
              <w:rPr>
                <w:rFonts w:cs="Helvetica" w:ascii="Helvetica" w:hAnsi="Helvetica"/>
              </w:rPr>
              <w:t>La mise en place de dispositifs de protection des voies circulées lors des phases travaux ;</w:t>
            </w:r>
          </w:p>
          <w:p>
            <w:pPr>
              <w:pStyle w:val="Normal"/>
              <w:widowControl w:val="false"/>
              <w:numPr>
                <w:ilvl w:val="0"/>
                <w:numId w:val="14"/>
              </w:numPr>
              <w:spacing w:before="120" w:after="120"/>
              <w:rPr>
                <w:rFonts w:cs="Arial"/>
                <w:szCs w:val="22"/>
              </w:rPr>
            </w:pPr>
            <w:r>
              <w:rPr>
                <w:rFonts w:cs="Arial"/>
                <w:szCs w:val="22"/>
              </w:rPr>
              <w:t>Les frais de fourniture et de mise en place des dispositifs de confinement du chantier pour la protection de l’environnement ;</w:t>
            </w:r>
          </w:p>
          <w:p>
            <w:pPr>
              <w:pStyle w:val="Normal"/>
              <w:widowControl w:val="false"/>
              <w:numPr>
                <w:ilvl w:val="0"/>
                <w:numId w:val="14"/>
              </w:numPr>
              <w:spacing w:before="120" w:after="120"/>
              <w:rPr>
                <w:rFonts w:cs="Arial"/>
                <w:szCs w:val="22"/>
              </w:rPr>
            </w:pPr>
            <w:r>
              <w:rPr>
                <w:rFonts w:cs="Arial"/>
                <w:szCs w:val="22"/>
              </w:rPr>
              <w:t>Les frais liés à la mise en œuvre de toutes les mesures environnementales décrites dans le marché ;</w:t>
            </w:r>
          </w:p>
          <w:p>
            <w:pPr>
              <w:pStyle w:val="Normal"/>
              <w:widowControl w:val="false"/>
              <w:numPr>
                <w:ilvl w:val="0"/>
                <w:numId w:val="14"/>
              </w:numPr>
              <w:spacing w:before="120" w:after="120"/>
              <w:rPr>
                <w:rFonts w:cs="Arial"/>
                <w:szCs w:val="22"/>
              </w:rPr>
            </w:pPr>
            <w:r>
              <w:rPr>
                <w:rFonts w:cs="Arial"/>
                <w:szCs w:val="22"/>
              </w:rPr>
              <w:t>Les frais d’assurance de l’entreprise contre les préjudices causés aux personnes et aux usagers des voies publiques du fait des travaux ;</w:t>
            </w:r>
          </w:p>
          <w:p>
            <w:pPr>
              <w:pStyle w:val="Normal"/>
              <w:widowControl w:val="false"/>
              <w:numPr>
                <w:ilvl w:val="0"/>
                <w:numId w:val="14"/>
              </w:numPr>
              <w:spacing w:before="120" w:after="120"/>
              <w:rPr>
                <w:rFonts w:cs="Arial"/>
                <w:szCs w:val="22"/>
              </w:rPr>
            </w:pPr>
            <w:r>
              <w:rPr>
                <w:rFonts w:cs="Arial"/>
                <w:szCs w:val="22"/>
              </w:rPr>
              <w:t>Tous les moyens d'accès aux différentes parties d'ouvrage en construction ainsi que les moyens d'acheminement en ces différents points ;</w:t>
            </w:r>
          </w:p>
          <w:p>
            <w:pPr>
              <w:pStyle w:val="Normal"/>
              <w:widowControl w:val="false"/>
              <w:numPr>
                <w:ilvl w:val="0"/>
                <w:numId w:val="14"/>
              </w:numPr>
              <w:spacing w:before="120" w:after="120"/>
              <w:rPr>
                <w:rFonts w:cs="Arial"/>
                <w:szCs w:val="22"/>
              </w:rPr>
            </w:pPr>
            <w:r>
              <w:rPr>
                <w:rFonts w:cs="Arial"/>
                <w:szCs w:val="22"/>
              </w:rPr>
              <w:t>L'amenée, le repli de l'ensemble du matériel éventuel de renforcement nécessaire à la réalisation du chantier pour s'adapter aux conditions du site ou pour respecter les délais prescrits ;</w:t>
            </w:r>
          </w:p>
          <w:p>
            <w:pPr>
              <w:pStyle w:val="ListParagraph"/>
              <w:widowControl w:val="false"/>
              <w:numPr>
                <w:ilvl w:val="0"/>
                <w:numId w:val="14"/>
              </w:numPr>
              <w:spacing w:lineRule="auto" w:line="276" w:before="80" w:after="80"/>
              <w:rPr/>
            </w:pPr>
            <w:r>
              <w:rPr/>
              <w:t>Les branchements provisoires de toutes natures nécessaires au fonctionnement du matériel et à la marche générale des travaux (eau, énergie, téléphone...), y compris la location des compteurs. La fourniture en eau, électricité et en télécommunication sont à la charge de l’entrepreneur ;</w:t>
            </w:r>
          </w:p>
          <w:p>
            <w:pPr>
              <w:pStyle w:val="ListParagraph"/>
              <w:widowControl w:val="false"/>
              <w:numPr>
                <w:ilvl w:val="0"/>
                <w:numId w:val="14"/>
              </w:numPr>
              <w:spacing w:lineRule="auto" w:line="276" w:before="80" w:after="80"/>
              <w:rPr/>
            </w:pPr>
            <w:r>
              <w:rPr/>
              <w:t>Les dispositifs de recueil et de traitement des eaux usées et polluées en provenance des installations du chantier ;</w:t>
            </w:r>
          </w:p>
          <w:p>
            <w:pPr>
              <w:pStyle w:val="Normal"/>
              <w:widowControl w:val="false"/>
              <w:numPr>
                <w:ilvl w:val="0"/>
                <w:numId w:val="14"/>
              </w:numPr>
              <w:spacing w:before="120" w:after="120"/>
              <w:rPr>
                <w:rFonts w:cs="Arial"/>
                <w:szCs w:val="22"/>
              </w:rPr>
            </w:pPr>
            <w:r>
              <w:rPr>
                <w:rFonts w:cs="Arial"/>
                <w:szCs w:val="22"/>
              </w:rPr>
              <w:t>L'ensemble des frais, des sujétions, des immobilisations de matériels, d'attente ou de repliement de matériel dus au phasage d'exécution ;</w:t>
            </w:r>
          </w:p>
          <w:p>
            <w:pPr>
              <w:pStyle w:val="Normal"/>
              <w:widowControl w:val="false"/>
              <w:numPr>
                <w:ilvl w:val="0"/>
                <w:numId w:val="14"/>
              </w:numPr>
              <w:spacing w:before="120" w:after="120"/>
              <w:rPr>
                <w:rFonts w:cs="Arial"/>
                <w:szCs w:val="22"/>
              </w:rPr>
            </w:pPr>
            <w:r>
              <w:rPr>
                <w:rFonts w:cs="Arial"/>
                <w:szCs w:val="22"/>
              </w:rPr>
              <w:t>L'enlèvement en fin de chantier des matériaux non utilisés ;</w:t>
            </w:r>
          </w:p>
          <w:p>
            <w:pPr>
              <w:pStyle w:val="Normal"/>
              <w:widowControl w:val="false"/>
              <w:numPr>
                <w:ilvl w:val="0"/>
                <w:numId w:val="14"/>
              </w:numPr>
              <w:spacing w:before="120" w:after="120"/>
              <w:rPr>
                <w:rFonts w:cs="Arial"/>
                <w:szCs w:val="22"/>
              </w:rPr>
            </w:pPr>
            <w:r>
              <w:rPr>
                <w:rFonts w:cs="Arial"/>
                <w:szCs w:val="22"/>
              </w:rPr>
              <w:t>Le nettoyage (balayage et jet d'eau) des accès au chantier à la voirie existante ;</w:t>
            </w:r>
          </w:p>
          <w:p>
            <w:pPr>
              <w:pStyle w:val="Normal"/>
              <w:widowControl w:val="false"/>
              <w:numPr>
                <w:ilvl w:val="0"/>
                <w:numId w:val="14"/>
              </w:numPr>
              <w:spacing w:before="120" w:after="120"/>
              <w:rPr>
                <w:rFonts w:cs="Arial"/>
                <w:szCs w:val="22"/>
              </w:rPr>
            </w:pPr>
            <w:r>
              <w:rPr>
                <w:rFonts w:cs="Arial"/>
                <w:szCs w:val="22"/>
              </w:rPr>
              <w:t>Les frais relatifs au contrôle interne et externe, aux essais et épreuves de convenance ;</w:t>
            </w:r>
          </w:p>
          <w:p>
            <w:pPr>
              <w:pStyle w:val="Normal"/>
              <w:widowControl w:val="false"/>
              <w:numPr>
                <w:ilvl w:val="0"/>
                <w:numId w:val="14"/>
              </w:numPr>
              <w:spacing w:before="120" w:after="120"/>
              <w:rPr>
                <w:rFonts w:cs="Arial"/>
                <w:szCs w:val="22"/>
              </w:rPr>
            </w:pPr>
            <w:r>
              <w:rPr>
                <w:rFonts w:cs="Arial"/>
                <w:szCs w:val="22"/>
              </w:rPr>
              <w:t>Les frais de clôtures, de gardiennage, d’ouverture et fermeture des accès après chaque passage de véhicules chantier ;</w:t>
            </w:r>
          </w:p>
          <w:p>
            <w:pPr>
              <w:pStyle w:val="Normal"/>
              <w:widowControl w:val="false"/>
              <w:numPr>
                <w:ilvl w:val="0"/>
                <w:numId w:val="14"/>
              </w:numPr>
              <w:spacing w:before="120" w:after="120"/>
              <w:rPr>
                <w:rFonts w:cs="Arial"/>
                <w:szCs w:val="22"/>
              </w:rPr>
            </w:pPr>
            <w:r>
              <w:rPr>
                <w:rFonts w:cs="Arial"/>
                <w:szCs w:val="22"/>
              </w:rPr>
              <w:t>La participation d’un représentant de l’Entrepreneur et de chacun de ses sous-traitants ou co-traitants à toutes les réunions de chantier ;</w:t>
            </w:r>
          </w:p>
          <w:p>
            <w:pPr>
              <w:pStyle w:val="Normal"/>
              <w:widowControl w:val="false"/>
              <w:numPr>
                <w:ilvl w:val="0"/>
                <w:numId w:val="14"/>
              </w:numPr>
              <w:rPr>
                <w:bCs/>
              </w:rPr>
            </w:pPr>
            <w:r>
              <w:rPr>
                <w:bCs/>
              </w:rPr>
              <w:t>La fourniture, l’acheminement et l’installation intégrale du dispositif d’éclairage requis pour la réalisation de l’ensemble des travaux y compris les week-ends de nuit.</w:t>
            </w:r>
          </w:p>
          <w:p>
            <w:pPr>
              <w:pStyle w:val="Normal"/>
              <w:widowControl w:val="false"/>
              <w:numPr>
                <w:ilvl w:val="0"/>
                <w:numId w:val="14"/>
              </w:numPr>
              <w:spacing w:before="120" w:after="120"/>
              <w:rPr>
                <w:rFonts w:cs="Arial"/>
                <w:szCs w:val="22"/>
              </w:rPr>
            </w:pPr>
            <w:r>
              <w:rPr>
                <w:rFonts w:cs="Arial"/>
                <w:szCs w:val="22"/>
              </w:rPr>
              <w:t>L’ensemble des démarches administratives liées à la nature de la zone des travaux (Commune, Conseil Général, DIR, concessionnaires, …) ;</w:t>
            </w:r>
          </w:p>
          <w:p>
            <w:pPr>
              <w:pStyle w:val="Normal"/>
              <w:widowControl w:val="false"/>
              <w:numPr>
                <w:ilvl w:val="0"/>
                <w:numId w:val="14"/>
              </w:numPr>
              <w:spacing w:before="120" w:after="120"/>
              <w:rPr>
                <w:rFonts w:cs="Arial"/>
                <w:szCs w:val="22"/>
              </w:rPr>
            </w:pPr>
            <w:r>
              <w:rPr>
                <w:rFonts w:cs="Arial"/>
                <w:szCs w:val="22"/>
              </w:rPr>
              <w:t>Le repliement de toutes les installations de l’entreprise ;</w:t>
            </w:r>
          </w:p>
          <w:p>
            <w:pPr>
              <w:pStyle w:val="ListParagraph"/>
              <w:widowControl w:val="false"/>
              <w:numPr>
                <w:ilvl w:val="0"/>
                <w:numId w:val="14"/>
              </w:numPr>
              <w:spacing w:lineRule="auto" w:line="276" w:before="80" w:after="80"/>
              <w:rPr/>
            </w:pPr>
            <w:r>
              <w:rPr/>
              <w:t>La remise en état des lieux après repliement des installations de l'entreprise ;</w:t>
            </w:r>
          </w:p>
          <w:p>
            <w:pPr>
              <w:pStyle w:val="Normal"/>
              <w:widowControl w:val="false"/>
              <w:tabs>
                <w:tab w:val="clear" w:pos="708"/>
                <w:tab w:val="right" w:pos="3783" w:leader="none"/>
              </w:tabs>
              <w:ind w:hanging="284" w:left="284" w:right="0"/>
              <w:rPr>
                <w:rFonts w:cs="Arial"/>
                <w:color w:val="000000"/>
              </w:rPr>
            </w:pPr>
            <w:r>
              <w:rPr>
                <w:rFonts w:cs="Arial"/>
                <w:color w:val="000000"/>
              </w:rPr>
              <w:t>Ce prix est scindé en deux fractions :</w:t>
            </w:r>
          </w:p>
          <w:p>
            <w:pPr>
              <w:pStyle w:val="Normal"/>
              <w:widowControl w:val="false"/>
              <w:numPr>
                <w:ilvl w:val="0"/>
                <w:numId w:val="14"/>
              </w:numPr>
              <w:tabs>
                <w:tab w:val="clear" w:pos="708"/>
                <w:tab w:val="left" w:pos="360" w:leader="none"/>
                <w:tab w:val="right" w:pos="3783" w:leader="none"/>
              </w:tabs>
              <w:overflowPunct w:val="false"/>
              <w:spacing w:before="120" w:after="120"/>
              <w:textAlignment w:val="baseline"/>
              <w:rPr>
                <w:rFonts w:cs="Arial"/>
                <w:color w:val="000000"/>
              </w:rPr>
            </w:pPr>
            <w:r>
              <w:rPr>
                <w:rFonts w:cs="Arial"/>
                <w:color w:val="000000"/>
              </w:rPr>
              <w:t>70% après amenée, le montage des installations et la mise en place du matériel,</w:t>
            </w:r>
          </w:p>
          <w:p>
            <w:pPr>
              <w:pStyle w:val="Normal"/>
              <w:widowControl w:val="false"/>
              <w:numPr>
                <w:ilvl w:val="0"/>
                <w:numId w:val="14"/>
              </w:numPr>
              <w:tabs>
                <w:tab w:val="clear" w:pos="708"/>
                <w:tab w:val="left" w:pos="360" w:leader="none"/>
                <w:tab w:val="right" w:pos="3783" w:leader="none"/>
              </w:tabs>
              <w:overflowPunct w:val="false"/>
              <w:spacing w:before="120" w:after="120"/>
              <w:textAlignment w:val="baseline"/>
              <w:rPr>
                <w:rFonts w:cs="Arial"/>
                <w:color w:val="000000"/>
              </w:rPr>
            </w:pPr>
            <w:r>
              <w:rPr>
                <w:rFonts w:cs="Arial"/>
                <w:color w:val="000000"/>
              </w:rPr>
              <w:t>30% après repliement des installations et remise en état des lieux.</w:t>
            </w:r>
          </w:p>
        </w:tc>
      </w:tr>
      <w:tr>
        <w:trPr>
          <w:trHeight w:val="1396" w:hRule="atLeast"/>
        </w:trPr>
        <w:tc>
          <w:tcPr>
            <w:tcW w:w="1259" w:type="dxa"/>
            <w:vMerge w:val="continue"/>
            <w:tcBorders>
              <w:top w:val="single" w:sz="8" w:space="0" w:color="000000"/>
              <w:left w:val="single" w:sz="8" w:space="0" w:color="000000"/>
              <w:bottom w:val="single" w:sz="8" w:space="0" w:color="000000"/>
              <w:right w:val="single" w:sz="8" w:space="0" w:color="000000"/>
            </w:tcBorders>
          </w:tcPr>
          <w:p>
            <w:pPr>
              <w:pStyle w:val="Normal"/>
              <w:widowControl/>
              <w:suppressAutoHyphens w:val="true"/>
              <w:bidi w:val="0"/>
              <w:spacing w:before="0" w:after="120"/>
              <w:jc w:val="both"/>
              <w:rPr/>
            </w:pPr>
            <w:r>
              <w:rPr/>
            </w:r>
          </w:p>
        </w:tc>
        <w:tc>
          <w:tcPr>
            <w:tcW w:w="5221" w:type="dxa"/>
            <w:tcBorders>
              <w:top w:val="single" w:sz="8" w:space="0" w:color="000000"/>
              <w:left w:val="single" w:sz="8" w:space="0" w:color="000000"/>
              <w:bottom w:val="single" w:sz="8" w:space="0" w:color="000000"/>
              <w:right w:val="single" w:sz="8" w:space="0" w:color="000000"/>
            </w:tcBorders>
          </w:tcPr>
          <w:p>
            <w:pPr>
              <w:pStyle w:val="Normal"/>
              <w:widowControl w:val="false"/>
              <w:tabs>
                <w:tab w:val="clear" w:pos="708"/>
                <w:tab w:val="center" w:pos="4536" w:leader="none"/>
                <w:tab w:val="right" w:pos="9072" w:leader="none"/>
              </w:tabs>
              <w:rPr>
                <w:b/>
                <w:bCs/>
              </w:rPr>
            </w:pPr>
            <w:r>
              <w:rPr>
                <w:b/>
                <w:bCs/>
              </w:rPr>
              <w:t>Le forfait (en lettres)</w:t>
            </w:r>
          </w:p>
          <w:p>
            <w:pPr>
              <w:pStyle w:val="Normal"/>
              <w:widowControl w:val="false"/>
              <w:tabs>
                <w:tab w:val="clear" w:pos="708"/>
                <w:tab w:val="center" w:pos="4536" w:leader="none"/>
                <w:tab w:val="right" w:pos="9072" w:leader="none"/>
              </w:tabs>
              <w:spacing w:before="0" w:after="120"/>
              <w:rPr>
                <w:b/>
                <w:bCs/>
              </w:rPr>
            </w:pPr>
            <w:r>
              <w:rPr>
                <w:b/>
                <w:bCs/>
              </w:rPr>
            </w:r>
          </w:p>
        </w:tc>
        <w:tc>
          <w:tcPr>
            <w:tcW w:w="2591" w:type="dxa"/>
            <w:tcBorders>
              <w:top w:val="single" w:sz="8" w:space="0" w:color="000000"/>
              <w:left w:val="single" w:sz="8" w:space="0" w:color="000000"/>
              <w:bottom w:val="single" w:sz="8" w:space="0" w:color="000000"/>
              <w:right w:val="single" w:sz="8" w:space="0" w:color="000000"/>
            </w:tcBorders>
          </w:tcPr>
          <w:p>
            <w:pPr>
              <w:pStyle w:val="Normal"/>
              <w:widowControl w:val="false"/>
              <w:tabs>
                <w:tab w:val="clear" w:pos="708"/>
                <w:tab w:val="center" w:pos="4536" w:leader="none"/>
                <w:tab w:val="right" w:pos="9072" w:leader="none"/>
              </w:tabs>
              <w:rPr>
                <w:b/>
                <w:bCs/>
              </w:rPr>
            </w:pPr>
            <w:r>
              <w:rPr>
                <w:b/>
                <w:bCs/>
              </w:rPr>
              <w:t>Le forfait (en chiffres)</w:t>
            </w:r>
          </w:p>
          <w:p>
            <w:pPr>
              <w:pStyle w:val="Normal"/>
              <w:widowControl w:val="false"/>
              <w:tabs>
                <w:tab w:val="clear" w:pos="708"/>
                <w:tab w:val="center" w:pos="4536" w:leader="none"/>
                <w:tab w:val="right" w:pos="9072" w:leader="none"/>
              </w:tabs>
              <w:spacing w:before="0" w:after="120"/>
              <w:rPr>
                <w:b/>
                <w:bCs/>
              </w:rPr>
            </w:pPr>
            <w:r>
              <w:rPr>
                <w:b/>
                <w:bCs/>
              </w:rPr>
            </w:r>
          </w:p>
        </w:tc>
      </w:tr>
    </w:tbl>
    <w:p>
      <w:pPr>
        <w:pStyle w:val="Normal"/>
        <w:spacing w:before="0" w:after="0"/>
        <w:jc w:val="left"/>
        <w:rPr/>
      </w:pPr>
      <w:r>
        <w:rPr/>
      </w:r>
      <w:r>
        <w:br w:type="page"/>
      </w:r>
    </w:p>
    <w:tbl>
      <w:tblPr>
        <w:tblW w:w="9071" w:type="dxa"/>
        <w:jc w:val="left"/>
        <w:tblInd w:w="108" w:type="dxa"/>
        <w:tblLayout w:type="fixed"/>
        <w:tblCellMar>
          <w:top w:w="0" w:type="dxa"/>
          <w:left w:w="108" w:type="dxa"/>
          <w:bottom w:w="0" w:type="dxa"/>
          <w:right w:w="108" w:type="dxa"/>
        </w:tblCellMar>
      </w:tblPr>
      <w:tblGrid>
        <w:gridCol w:w="1259"/>
        <w:gridCol w:w="5221"/>
        <w:gridCol w:w="2591"/>
      </w:tblGrid>
      <w:tr>
        <w:trPr/>
        <w:tc>
          <w:tcPr>
            <w:tcW w:w="1259" w:type="dxa"/>
            <w:tcBorders>
              <w:top w:val="single" w:sz="8" w:space="0" w:color="000000"/>
              <w:left w:val="single" w:sz="8" w:space="0" w:color="000000"/>
              <w:bottom w:val="single" w:sz="8" w:space="0" w:color="000000"/>
              <w:right w:val="single" w:sz="8" w:space="0" w:color="000000"/>
            </w:tcBorders>
            <w:shd w:fill="009782" w:val="clear"/>
          </w:tcPr>
          <w:p>
            <w:pPr>
              <w:pStyle w:val="Normal"/>
              <w:pageBreakBefore/>
              <w:widowControl w:val="false"/>
              <w:tabs>
                <w:tab w:val="clear" w:pos="708"/>
                <w:tab w:val="center" w:pos="4536" w:leader="none"/>
                <w:tab w:val="right" w:pos="9072" w:leader="none"/>
              </w:tabs>
              <w:spacing w:before="120" w:after="120"/>
              <w:jc w:val="center"/>
              <w:rPr>
                <w:b/>
                <w:bCs/>
                <w:i/>
                <w:color w:val="FFFFFF"/>
              </w:rPr>
            </w:pPr>
            <w:r>
              <w:rPr>
                <w:b/>
                <w:bCs/>
                <w:i/>
                <w:color w:val="FFFFFF"/>
              </w:rPr>
              <w:t>N° PRIX</w:t>
            </w:r>
          </w:p>
        </w:tc>
        <w:tc>
          <w:tcPr>
            <w:tcW w:w="7812" w:type="dxa"/>
            <w:gridSpan w:val="2"/>
            <w:tcBorders>
              <w:top w:val="single" w:sz="8" w:space="0" w:color="000000"/>
              <w:left w:val="single" w:sz="8" w:space="0" w:color="000000"/>
              <w:bottom w:val="single" w:sz="8" w:space="0" w:color="000000"/>
              <w:right w:val="single" w:sz="8" w:space="0" w:color="000000"/>
            </w:tcBorders>
            <w:shd w:fill="009782" w:val="clear"/>
          </w:tcPr>
          <w:p>
            <w:pPr>
              <w:pStyle w:val="Normal"/>
              <w:widowControl w:val="false"/>
              <w:tabs>
                <w:tab w:val="clear" w:pos="708"/>
                <w:tab w:val="center" w:pos="4536" w:leader="none"/>
                <w:tab w:val="right" w:pos="9072" w:leader="none"/>
              </w:tabs>
              <w:spacing w:before="120" w:after="120"/>
              <w:jc w:val="center"/>
              <w:rPr>
                <w:b/>
                <w:bCs/>
                <w:i/>
                <w:color w:val="FFFFFF"/>
              </w:rPr>
            </w:pPr>
            <w:r>
              <w:rPr>
                <w:b/>
                <w:bCs/>
                <w:i/>
                <w:color w:val="FFFFFF"/>
              </w:rPr>
              <w:t>DESIGNATION DES OUVRAGES ET PRIX HORS TAXE</w:t>
            </w:r>
          </w:p>
        </w:tc>
      </w:tr>
      <w:tr>
        <w:trPr/>
        <w:tc>
          <w:tcPr>
            <w:tcW w:w="1259" w:type="dxa"/>
            <w:vMerge w:val="restart"/>
            <w:tcBorders>
              <w:top w:val="single" w:sz="8" w:space="0" w:color="000000"/>
              <w:left w:val="single" w:sz="8" w:space="0" w:color="000000"/>
              <w:bottom w:val="single" w:sz="8" w:space="0" w:color="000000"/>
              <w:right w:val="single" w:sz="8" w:space="0" w:color="000000"/>
            </w:tcBorders>
          </w:tcPr>
          <w:p>
            <w:pPr>
              <w:pStyle w:val="Normal"/>
              <w:widowControl w:val="false"/>
              <w:spacing w:before="0" w:after="120"/>
              <w:jc w:val="center"/>
              <w:rPr>
                <w:b/>
              </w:rPr>
            </w:pPr>
            <w:r>
              <w:rPr>
                <w:b/>
              </w:rPr>
              <w:t>102</w:t>
            </w:r>
          </w:p>
        </w:tc>
        <w:tc>
          <w:tcPr>
            <w:tcW w:w="7812" w:type="dxa"/>
            <w:gridSpan w:val="2"/>
            <w:tcBorders>
              <w:top w:val="single" w:sz="8" w:space="0" w:color="000000"/>
              <w:left w:val="single" w:sz="8" w:space="0" w:color="000000"/>
              <w:bottom w:val="single" w:sz="8" w:space="0" w:color="000000"/>
              <w:right w:val="single" w:sz="8" w:space="0" w:color="000000"/>
            </w:tcBorders>
            <w:vAlign w:val="center"/>
          </w:tcPr>
          <w:p>
            <w:pPr>
              <w:pStyle w:val="Normal"/>
              <w:widowControl w:val="false"/>
              <w:rPr>
                <w:b/>
                <w:bCs/>
                <w:smallCaps/>
                <w:color w:val="339966"/>
                <w:spacing w:val="-6"/>
                <w:sz w:val="24"/>
                <w:szCs w:val="24"/>
              </w:rPr>
            </w:pPr>
            <w:r>
              <w:rPr>
                <w:b/>
                <w:bCs/>
                <w:smallCaps/>
                <w:color w:val="339966"/>
                <w:spacing w:val="-6"/>
                <w:sz w:val="24"/>
                <w:szCs w:val="24"/>
              </w:rPr>
              <w:t xml:space="preserve">Etudes d'exécution, méthodes et procédures d'exécution </w:t>
            </w:r>
          </w:p>
          <w:p>
            <w:pPr>
              <w:pStyle w:val="Normal"/>
              <w:widowControl w:val="false"/>
              <w:rPr/>
            </w:pPr>
            <w:r>
              <w:rPr/>
              <w:t xml:space="preserve">Ce prix rémunère, au forfait, </w:t>
            </w:r>
            <w:r>
              <w:rPr>
                <w:rFonts w:cs="Arial"/>
                <w:szCs w:val="22"/>
              </w:rPr>
              <w:t>l’ensemble des études d’exécution et de méthodes dans les conditions fixées par le CCAP, le CCTP, et du CCTG.</w:t>
            </w:r>
          </w:p>
          <w:p>
            <w:pPr>
              <w:pStyle w:val="Normal"/>
              <w:widowControl w:val="false"/>
              <w:rPr/>
            </w:pPr>
            <w:r>
              <w:rPr/>
              <w:t>Ce prix rémunère les frais de production des documents nécessaires et préalables à l’exécution des travaux, et leur mise à jour en cours de travaux.</w:t>
            </w:r>
          </w:p>
          <w:p>
            <w:pPr>
              <w:pStyle w:val="Normal"/>
              <w:widowControl w:val="false"/>
              <w:rPr/>
            </w:pPr>
            <w:r>
              <w:rPr/>
              <w:t>Il comprend notamment :</w:t>
            </w:r>
          </w:p>
          <w:p>
            <w:pPr>
              <w:pStyle w:val="Normal"/>
              <w:widowControl w:val="false"/>
              <w:numPr>
                <w:ilvl w:val="0"/>
                <w:numId w:val="14"/>
              </w:numPr>
              <w:overflowPunct w:val="false"/>
              <w:spacing w:before="120" w:after="120"/>
              <w:ind w:hanging="357" w:left="714" w:right="0"/>
              <w:textAlignment w:val="baseline"/>
              <w:rPr/>
            </w:pPr>
            <w:r>
              <w:rPr/>
              <w:t>Le programme d’exécution des études et des travaux ;</w:t>
            </w:r>
          </w:p>
          <w:p>
            <w:pPr>
              <w:pStyle w:val="Normal"/>
              <w:widowControl w:val="false"/>
              <w:numPr>
                <w:ilvl w:val="0"/>
                <w:numId w:val="14"/>
              </w:numPr>
              <w:overflowPunct w:val="false"/>
              <w:spacing w:before="120" w:after="120"/>
              <w:textAlignment w:val="baseline"/>
              <w:rPr/>
            </w:pPr>
            <w:r>
              <w:rPr/>
              <w:t>L’élaboration et la mise à jour du planning d’exécution des travaux intégrant le phasage des travaux et les contraintes temporelles de réalisation ;</w:t>
            </w:r>
          </w:p>
          <w:p>
            <w:pPr>
              <w:pStyle w:val="Normal"/>
              <w:widowControl w:val="false"/>
              <w:numPr>
                <w:ilvl w:val="0"/>
                <w:numId w:val="14"/>
              </w:numPr>
              <w:overflowPunct w:val="false"/>
              <w:spacing w:before="120" w:after="120"/>
              <w:ind w:hanging="357" w:left="714" w:right="0"/>
              <w:textAlignment w:val="baseline"/>
              <w:rPr>
                <w:rFonts w:cs="Arial"/>
              </w:rPr>
            </w:pPr>
            <w:r>
              <w:rPr>
                <w:rFonts w:cs="Arial"/>
              </w:rPr>
              <w:t>Les plans d'installations de chantier ;</w:t>
            </w:r>
          </w:p>
          <w:p>
            <w:pPr>
              <w:pStyle w:val="Normal"/>
              <w:widowControl w:val="false"/>
              <w:numPr>
                <w:ilvl w:val="0"/>
                <w:numId w:val="14"/>
              </w:numPr>
              <w:spacing w:before="120" w:after="120"/>
              <w:rPr>
                <w:rFonts w:cs="Arial"/>
                <w:szCs w:val="22"/>
              </w:rPr>
            </w:pPr>
            <w:r>
              <w:rPr>
                <w:rFonts w:cs="Arial"/>
                <w:szCs w:val="22"/>
              </w:rPr>
              <w:t>L’établissement du Dossier d’Exploitation Sous Chantier (DESC) y compris l’ensemble des reprises jusqu’à sa validation par les services instructeurs ;</w:t>
            </w:r>
          </w:p>
          <w:p>
            <w:pPr>
              <w:pStyle w:val="Normal"/>
              <w:widowControl w:val="false"/>
              <w:numPr>
                <w:ilvl w:val="0"/>
                <w:numId w:val="14"/>
              </w:numPr>
              <w:overflowPunct w:val="false"/>
              <w:spacing w:before="120" w:after="120"/>
              <w:textAlignment w:val="baseline"/>
              <w:rPr/>
            </w:pPr>
            <w:r>
              <w:rPr/>
              <w:t>La réalisation de l’ensemble des levés (relevé de côtes, etc…) nécessaires aux études d’exécution et à la bonne marche du chantier de manière générale ;</w:t>
            </w:r>
          </w:p>
          <w:p>
            <w:pPr>
              <w:pStyle w:val="Normal"/>
              <w:widowControl w:val="false"/>
              <w:numPr>
                <w:ilvl w:val="0"/>
                <w:numId w:val="14"/>
              </w:numPr>
              <w:overflowPunct w:val="false"/>
              <w:spacing w:before="120" w:after="120"/>
              <w:ind w:hanging="357" w:left="714" w:right="0"/>
              <w:textAlignment w:val="baseline"/>
              <w:rPr/>
            </w:pPr>
            <w:r>
              <w:rPr/>
              <w:t>L’ensemble des contrôles exécutés dans le cadre du contrôle interne des études (cf. CCTP) ;</w:t>
            </w:r>
          </w:p>
          <w:p>
            <w:pPr>
              <w:pStyle w:val="Normal"/>
              <w:widowControl w:val="false"/>
              <w:numPr>
                <w:ilvl w:val="0"/>
                <w:numId w:val="14"/>
              </w:numPr>
              <w:overflowPunct w:val="false"/>
              <w:spacing w:before="120" w:after="120"/>
              <w:ind w:hanging="357" w:left="714" w:right="0"/>
              <w:textAlignment w:val="baseline"/>
              <w:rPr/>
            </w:pPr>
            <w:r>
              <w:rPr/>
              <w:t>Le contrôle externe des études ;</w:t>
            </w:r>
          </w:p>
          <w:p>
            <w:pPr>
              <w:pStyle w:val="Normal"/>
              <w:widowControl w:val="false"/>
              <w:numPr>
                <w:ilvl w:val="0"/>
                <w:numId w:val="14"/>
              </w:numPr>
              <w:overflowPunct w:val="false"/>
              <w:spacing w:before="120" w:after="120"/>
              <w:ind w:hanging="357" w:left="714" w:right="0"/>
              <w:textAlignment w:val="baseline"/>
              <w:rPr/>
            </w:pPr>
            <w:r>
              <w:rPr/>
              <w:t>L’établissement et la fourniture des plans, dessins et notes de calculs d’exécution ;</w:t>
            </w:r>
          </w:p>
          <w:p>
            <w:pPr>
              <w:pStyle w:val="Normal"/>
              <w:widowControl w:val="false"/>
              <w:numPr>
                <w:ilvl w:val="0"/>
                <w:numId w:val="14"/>
              </w:numPr>
              <w:overflowPunct w:val="false"/>
              <w:spacing w:before="120" w:after="120"/>
              <w:ind w:hanging="357" w:left="714" w:right="0"/>
              <w:textAlignment w:val="baseline"/>
              <w:rPr/>
            </w:pPr>
            <w:r>
              <w:rPr/>
              <w:t>Les demandes d'agréments pour les produits utilisés ;</w:t>
            </w:r>
          </w:p>
          <w:p>
            <w:pPr>
              <w:pStyle w:val="Normal"/>
              <w:widowControl w:val="false"/>
              <w:numPr>
                <w:ilvl w:val="0"/>
                <w:numId w:val="14"/>
              </w:numPr>
              <w:overflowPunct w:val="false"/>
              <w:spacing w:before="120" w:after="120"/>
              <w:ind w:hanging="357" w:left="714" w:right="0"/>
              <w:textAlignment w:val="baseline"/>
              <w:rPr/>
            </w:pPr>
            <w:r>
              <w:rPr/>
              <w:t>Les études des méthodes du chantier et des ouvrages provisoires ;</w:t>
            </w:r>
          </w:p>
          <w:p>
            <w:pPr>
              <w:pStyle w:val="Normal"/>
              <w:widowControl w:val="false"/>
              <w:numPr>
                <w:ilvl w:val="0"/>
                <w:numId w:val="14"/>
              </w:numPr>
              <w:overflowPunct w:val="false"/>
              <w:spacing w:before="120" w:after="120"/>
              <w:ind w:hanging="357" w:left="714" w:right="0"/>
              <w:textAlignment w:val="baseline"/>
              <w:rPr/>
            </w:pPr>
            <w:r>
              <w:rPr/>
              <w:t>Des métrés conformes aux plans visés ;</w:t>
            </w:r>
          </w:p>
          <w:p>
            <w:pPr>
              <w:pStyle w:val="Normal"/>
              <w:widowControl w:val="false"/>
              <w:numPr>
                <w:ilvl w:val="0"/>
                <w:numId w:val="14"/>
              </w:numPr>
              <w:overflowPunct w:val="false"/>
              <w:spacing w:before="120" w:after="120"/>
              <w:ind w:hanging="357" w:left="714" w:right="0"/>
              <w:textAlignment w:val="baseline"/>
              <w:rPr/>
            </w:pPr>
            <w:r>
              <w:rPr/>
              <w:t>La production de toutes les procédures d’exécution et des méthodes.</w:t>
            </w:r>
          </w:p>
          <w:p>
            <w:pPr>
              <w:pStyle w:val="Normal"/>
              <w:widowControl w:val="false"/>
              <w:overflowPunct w:val="false"/>
              <w:spacing w:before="120" w:after="120"/>
              <w:ind w:hanging="0" w:left="714" w:right="0"/>
              <w:textAlignment w:val="baseline"/>
              <w:rPr/>
            </w:pPr>
            <w:r>
              <w:rPr/>
            </w:r>
          </w:p>
          <w:p>
            <w:pPr>
              <w:pStyle w:val="Normal"/>
              <w:widowControl w:val="false"/>
              <w:overflowPunct w:val="false"/>
              <w:spacing w:before="120" w:after="120"/>
              <w:ind w:hanging="0" w:left="714" w:right="0"/>
              <w:textAlignment w:val="baseline"/>
              <w:rPr/>
            </w:pPr>
            <w:r>
              <w:rPr/>
            </w:r>
          </w:p>
          <w:p>
            <w:pPr>
              <w:pStyle w:val="Normal"/>
              <w:widowControl w:val="false"/>
              <w:overflowPunct w:val="false"/>
              <w:spacing w:before="120" w:after="120"/>
              <w:ind w:hanging="0" w:left="714" w:right="0"/>
              <w:textAlignment w:val="baseline"/>
              <w:rPr/>
            </w:pPr>
            <w:r>
              <w:rPr/>
            </w:r>
          </w:p>
          <w:p>
            <w:pPr>
              <w:pStyle w:val="Normal"/>
              <w:widowControl w:val="false"/>
              <w:rPr/>
            </w:pPr>
            <w:r>
              <w:rPr/>
              <w:t>Les frais relatifs aux contrôles internes et externes, aux essais et aux épreuves de convenance sont rémunérés par le prix 101.</w:t>
            </w:r>
          </w:p>
          <w:p>
            <w:pPr>
              <w:pStyle w:val="Normal"/>
              <w:widowControl w:val="false"/>
              <w:rPr>
                <w:rFonts w:cs="Arial"/>
                <w:szCs w:val="22"/>
                <w:lang w:eastAsia="en-US"/>
              </w:rPr>
            </w:pPr>
            <w:r>
              <w:rPr>
                <w:rFonts w:cs="Arial"/>
                <w:szCs w:val="22"/>
                <w:lang w:eastAsia="en-US"/>
              </w:rPr>
              <w:t>Ce prix est scindé en deux fractions :</w:t>
            </w:r>
          </w:p>
          <w:p>
            <w:pPr>
              <w:pStyle w:val="Default"/>
              <w:widowControl w:val="false"/>
              <w:numPr>
                <w:ilvl w:val="0"/>
                <w:numId w:val="15"/>
              </w:numPr>
              <w:spacing w:before="120" w:after="120"/>
              <w:ind w:hanging="357" w:left="714" w:right="0"/>
              <w:jc w:val="both"/>
              <w:rPr>
                <w:color w:val="auto"/>
                <w:sz w:val="20"/>
                <w:szCs w:val="22"/>
              </w:rPr>
            </w:pPr>
            <w:r>
              <w:rPr>
                <w:color w:val="auto"/>
                <w:sz w:val="20"/>
                <w:szCs w:val="22"/>
              </w:rPr>
              <w:t>80% après remise de l’ensemble des documents préalables aux travaux concernés et après visa des notes de calcul, des plans et méthodes d’exécution par le Maître d’œuvre,</w:t>
            </w:r>
          </w:p>
          <w:p>
            <w:pPr>
              <w:pStyle w:val="Default"/>
              <w:widowControl w:val="false"/>
              <w:numPr>
                <w:ilvl w:val="0"/>
                <w:numId w:val="15"/>
              </w:numPr>
              <w:spacing w:before="120" w:after="120"/>
              <w:ind w:hanging="357" w:left="714" w:right="0"/>
              <w:jc w:val="both"/>
              <w:rPr>
                <w:color w:val="auto"/>
                <w:sz w:val="20"/>
                <w:szCs w:val="22"/>
              </w:rPr>
            </w:pPr>
            <w:r>
              <w:rPr>
                <w:color w:val="auto"/>
                <w:sz w:val="20"/>
                <w:szCs w:val="22"/>
              </w:rPr>
              <w:t>20% après réalisation complète des travaux et réception de l’intégralité des travaux.</w:t>
            </w:r>
          </w:p>
        </w:tc>
      </w:tr>
      <w:tr>
        <w:trPr>
          <w:trHeight w:val="1396" w:hRule="atLeast"/>
        </w:trPr>
        <w:tc>
          <w:tcPr>
            <w:tcW w:w="1259" w:type="dxa"/>
            <w:vMerge w:val="continue"/>
            <w:tcBorders>
              <w:top w:val="single" w:sz="8" w:space="0" w:color="000000"/>
              <w:left w:val="single" w:sz="8" w:space="0" w:color="000000"/>
              <w:bottom w:val="single" w:sz="8" w:space="0" w:color="000000"/>
              <w:right w:val="single" w:sz="8" w:space="0" w:color="000000"/>
            </w:tcBorders>
            <w:vAlign w:val="center"/>
          </w:tcPr>
          <w:p>
            <w:pPr>
              <w:pStyle w:val="Normal"/>
              <w:widowControl/>
              <w:suppressAutoHyphens w:val="true"/>
              <w:bidi w:val="0"/>
              <w:spacing w:before="0" w:after="120"/>
              <w:jc w:val="both"/>
              <w:rPr/>
            </w:pPr>
            <w:r>
              <w:rPr/>
            </w:r>
          </w:p>
        </w:tc>
        <w:tc>
          <w:tcPr>
            <w:tcW w:w="5221" w:type="dxa"/>
            <w:tcBorders>
              <w:top w:val="single" w:sz="8" w:space="0" w:color="000000"/>
              <w:left w:val="single" w:sz="8" w:space="0" w:color="000000"/>
              <w:bottom w:val="single" w:sz="8" w:space="0" w:color="000000"/>
              <w:right w:val="single" w:sz="8" w:space="0" w:color="000000"/>
            </w:tcBorders>
          </w:tcPr>
          <w:p>
            <w:pPr>
              <w:pStyle w:val="Normal"/>
              <w:widowControl w:val="false"/>
              <w:tabs>
                <w:tab w:val="clear" w:pos="708"/>
                <w:tab w:val="center" w:pos="4536" w:leader="none"/>
                <w:tab w:val="right" w:pos="9072" w:leader="none"/>
              </w:tabs>
              <w:rPr>
                <w:b/>
                <w:bCs/>
              </w:rPr>
            </w:pPr>
            <w:r>
              <w:rPr>
                <w:b/>
                <w:bCs/>
              </w:rPr>
              <w:t>Le forfait (en lettres)</w:t>
            </w:r>
          </w:p>
          <w:p>
            <w:pPr>
              <w:pStyle w:val="Normal"/>
              <w:widowControl w:val="false"/>
              <w:tabs>
                <w:tab w:val="clear" w:pos="708"/>
                <w:tab w:val="center" w:pos="4536" w:leader="none"/>
                <w:tab w:val="right" w:pos="9072" w:leader="none"/>
              </w:tabs>
              <w:spacing w:before="0" w:after="120"/>
              <w:rPr>
                <w:b/>
                <w:bCs/>
              </w:rPr>
            </w:pPr>
            <w:r>
              <w:rPr>
                <w:b/>
                <w:bCs/>
              </w:rPr>
            </w:r>
          </w:p>
        </w:tc>
        <w:tc>
          <w:tcPr>
            <w:tcW w:w="2591" w:type="dxa"/>
            <w:tcBorders>
              <w:top w:val="single" w:sz="8" w:space="0" w:color="000000"/>
              <w:left w:val="single" w:sz="8" w:space="0" w:color="000000"/>
              <w:bottom w:val="single" w:sz="8" w:space="0" w:color="000000"/>
              <w:right w:val="single" w:sz="8" w:space="0" w:color="000000"/>
            </w:tcBorders>
          </w:tcPr>
          <w:p>
            <w:pPr>
              <w:pStyle w:val="Normal"/>
              <w:widowControl w:val="false"/>
              <w:tabs>
                <w:tab w:val="clear" w:pos="708"/>
                <w:tab w:val="center" w:pos="4536" w:leader="none"/>
                <w:tab w:val="right" w:pos="9072" w:leader="none"/>
              </w:tabs>
              <w:rPr>
                <w:b/>
                <w:bCs/>
              </w:rPr>
            </w:pPr>
            <w:r>
              <w:rPr>
                <w:b/>
                <w:bCs/>
              </w:rPr>
              <w:t>Le forfait (en chiffres)</w:t>
            </w:r>
          </w:p>
          <w:p>
            <w:pPr>
              <w:pStyle w:val="Normal"/>
              <w:widowControl w:val="false"/>
              <w:tabs>
                <w:tab w:val="clear" w:pos="708"/>
                <w:tab w:val="center" w:pos="4536" w:leader="none"/>
                <w:tab w:val="right" w:pos="9072" w:leader="none"/>
              </w:tabs>
              <w:spacing w:before="0" w:after="120"/>
              <w:rPr>
                <w:b/>
                <w:bCs/>
              </w:rPr>
            </w:pPr>
            <w:r>
              <w:rPr>
                <w:b/>
                <w:bCs/>
              </w:rPr>
            </w:r>
          </w:p>
        </w:tc>
      </w:tr>
    </w:tbl>
    <w:p>
      <w:pPr>
        <w:pStyle w:val="Normal"/>
        <w:spacing w:before="0" w:after="0"/>
        <w:jc w:val="left"/>
        <w:rPr/>
      </w:pPr>
      <w:r>
        <w:rPr/>
      </w:r>
      <w:r>
        <w:br w:type="page"/>
      </w:r>
    </w:p>
    <w:tbl>
      <w:tblPr>
        <w:tblW w:w="9071" w:type="dxa"/>
        <w:jc w:val="left"/>
        <w:tblInd w:w="108" w:type="dxa"/>
        <w:tblLayout w:type="fixed"/>
        <w:tblCellMar>
          <w:top w:w="0" w:type="dxa"/>
          <w:left w:w="108" w:type="dxa"/>
          <w:bottom w:w="0" w:type="dxa"/>
          <w:right w:w="108" w:type="dxa"/>
        </w:tblCellMar>
      </w:tblPr>
      <w:tblGrid>
        <w:gridCol w:w="1259"/>
        <w:gridCol w:w="5221"/>
        <w:gridCol w:w="2591"/>
      </w:tblGrid>
      <w:tr>
        <w:trPr/>
        <w:tc>
          <w:tcPr>
            <w:tcW w:w="1259" w:type="dxa"/>
            <w:tcBorders>
              <w:top w:val="single" w:sz="8" w:space="0" w:color="000000"/>
              <w:left w:val="single" w:sz="8" w:space="0" w:color="000000"/>
              <w:bottom w:val="single" w:sz="8" w:space="0" w:color="000000"/>
              <w:right w:val="single" w:sz="8" w:space="0" w:color="000000"/>
            </w:tcBorders>
            <w:shd w:fill="009782" w:val="clear"/>
          </w:tcPr>
          <w:p>
            <w:pPr>
              <w:pStyle w:val="Normal"/>
              <w:pageBreakBefore/>
              <w:widowControl w:val="false"/>
              <w:tabs>
                <w:tab w:val="clear" w:pos="708"/>
                <w:tab w:val="center" w:pos="4536" w:leader="none"/>
                <w:tab w:val="right" w:pos="9072" w:leader="none"/>
              </w:tabs>
              <w:spacing w:before="120" w:after="120"/>
              <w:jc w:val="center"/>
              <w:rPr>
                <w:b/>
                <w:bCs/>
                <w:i/>
                <w:color w:val="FFFFFF"/>
              </w:rPr>
            </w:pPr>
            <w:r>
              <w:rPr>
                <w:b/>
                <w:bCs/>
                <w:i/>
                <w:color w:val="FFFFFF"/>
              </w:rPr>
              <w:t>N° PRIX</w:t>
            </w:r>
          </w:p>
        </w:tc>
        <w:tc>
          <w:tcPr>
            <w:tcW w:w="7812" w:type="dxa"/>
            <w:gridSpan w:val="2"/>
            <w:tcBorders>
              <w:top w:val="single" w:sz="8" w:space="0" w:color="000000"/>
              <w:left w:val="single" w:sz="8" w:space="0" w:color="000000"/>
              <w:bottom w:val="single" w:sz="8" w:space="0" w:color="000000"/>
              <w:right w:val="single" w:sz="8" w:space="0" w:color="000000"/>
            </w:tcBorders>
            <w:shd w:fill="009782" w:val="clear"/>
            <w:vAlign w:val="center"/>
          </w:tcPr>
          <w:p>
            <w:pPr>
              <w:pStyle w:val="Normal"/>
              <w:widowControl w:val="false"/>
              <w:tabs>
                <w:tab w:val="clear" w:pos="708"/>
                <w:tab w:val="center" w:pos="4536" w:leader="none"/>
                <w:tab w:val="right" w:pos="9072" w:leader="none"/>
              </w:tabs>
              <w:spacing w:before="120" w:after="120"/>
              <w:jc w:val="center"/>
              <w:rPr>
                <w:b/>
                <w:bCs/>
                <w:i/>
                <w:color w:val="FFFFFF"/>
              </w:rPr>
            </w:pPr>
            <w:r>
              <w:rPr>
                <w:b/>
                <w:bCs/>
                <w:i/>
                <w:color w:val="FFFFFF"/>
              </w:rPr>
              <w:t>DESIGNATION DES OUVRAGES ET PRIX HORS TAXE</w:t>
            </w:r>
          </w:p>
        </w:tc>
      </w:tr>
      <w:tr>
        <w:trPr/>
        <w:tc>
          <w:tcPr>
            <w:tcW w:w="1259" w:type="dxa"/>
            <w:vMerge w:val="restart"/>
            <w:tcBorders>
              <w:top w:val="single" w:sz="8" w:space="0" w:color="000000"/>
              <w:left w:val="single" w:sz="8" w:space="0" w:color="000000"/>
              <w:bottom w:val="single" w:sz="8" w:space="0" w:color="000000"/>
              <w:right w:val="single" w:sz="8" w:space="0" w:color="000000"/>
            </w:tcBorders>
          </w:tcPr>
          <w:p>
            <w:pPr>
              <w:pStyle w:val="Normal"/>
              <w:widowControl w:val="false"/>
              <w:spacing w:before="0" w:after="120"/>
              <w:jc w:val="center"/>
              <w:rPr>
                <w:b/>
              </w:rPr>
            </w:pPr>
            <w:r>
              <w:rPr>
                <w:b/>
              </w:rPr>
              <w:t>103</w:t>
            </w:r>
          </w:p>
        </w:tc>
        <w:tc>
          <w:tcPr>
            <w:tcW w:w="7812" w:type="dxa"/>
            <w:gridSpan w:val="2"/>
            <w:tcBorders>
              <w:top w:val="single" w:sz="8" w:space="0" w:color="000000"/>
              <w:left w:val="single" w:sz="8" w:space="0" w:color="000000"/>
              <w:bottom w:val="single" w:sz="8" w:space="0" w:color="000000"/>
              <w:right w:val="single" w:sz="8" w:space="0" w:color="000000"/>
            </w:tcBorders>
            <w:vAlign w:val="center"/>
          </w:tcPr>
          <w:p>
            <w:pPr>
              <w:pStyle w:val="Normal"/>
              <w:widowControl w:val="false"/>
              <w:rPr>
                <w:b/>
                <w:bCs/>
                <w:smallCaps/>
                <w:color w:val="339966"/>
                <w:spacing w:val="-6"/>
                <w:sz w:val="24"/>
                <w:szCs w:val="24"/>
              </w:rPr>
            </w:pPr>
            <w:r>
              <w:rPr>
                <w:b/>
                <w:bCs/>
                <w:smallCaps/>
                <w:color w:val="339966"/>
                <w:spacing w:val="-6"/>
                <w:sz w:val="24"/>
                <w:szCs w:val="24"/>
              </w:rPr>
              <w:t>Etablissement du PAQ, des PPSPS et du PRE incluant le SOSED</w:t>
            </w:r>
          </w:p>
          <w:p>
            <w:pPr>
              <w:pStyle w:val="Normal"/>
              <w:widowControl w:val="false"/>
              <w:rPr/>
            </w:pPr>
            <w:r>
              <w:rPr/>
              <w:t xml:space="preserve">Ce prix rémunère, au forfait, les prestations définies dans le CCTP relatives à la production du Plan d’Assurance Qualité (PAQ), des Plans Particuliers de Sécurité et de Protection de la Santé (PPSP) et du Plan de Respect de l’Environnement (PRE), y compris le </w:t>
            </w:r>
            <w:r>
              <w:rPr>
                <w:rFonts w:cs="Arial"/>
                <w:szCs w:val="22"/>
              </w:rPr>
              <w:t xml:space="preserve">Schéma d’Organisation et de Suivi de l’Elimination des Déchets </w:t>
            </w:r>
            <w:r>
              <w:rPr/>
              <w:t>(SOSED). Il inclut les frais de production des documents nécessaires et préalables à l’exécution des travaux, et leur mise à jour en cours de travaux.</w:t>
            </w:r>
          </w:p>
          <w:p>
            <w:pPr>
              <w:pStyle w:val="Normal"/>
              <w:widowControl w:val="false"/>
              <w:rPr>
                <w:rFonts w:cs="Arial"/>
                <w:szCs w:val="22"/>
              </w:rPr>
            </w:pPr>
            <w:r>
              <w:rPr>
                <w:rFonts w:cs="Arial"/>
                <w:szCs w:val="22"/>
              </w:rPr>
              <w:t>Il comprend notamment :</w:t>
            </w:r>
          </w:p>
          <w:p>
            <w:pPr>
              <w:pStyle w:val="ListParagraph"/>
              <w:widowControl w:val="false"/>
              <w:numPr>
                <w:ilvl w:val="0"/>
                <w:numId w:val="16"/>
              </w:numPr>
              <w:rPr>
                <w:rFonts w:cs="Arial"/>
                <w:szCs w:val="22"/>
              </w:rPr>
            </w:pPr>
            <w:r>
              <w:rPr>
                <w:rFonts w:cs="Arial"/>
                <w:szCs w:val="22"/>
              </w:rPr>
              <w:t>La réalisation et la mise à jour en cours de chantier du PAQ, conformément aux prescriptions de l’article 4.2.2 du fascicule 65 du CCTG ;</w:t>
            </w:r>
          </w:p>
          <w:p>
            <w:pPr>
              <w:pStyle w:val="Normal"/>
              <w:widowControl w:val="false"/>
              <w:numPr>
                <w:ilvl w:val="0"/>
                <w:numId w:val="16"/>
              </w:numPr>
              <w:overflowPunct w:val="false"/>
              <w:spacing w:before="120" w:after="120"/>
              <w:textAlignment w:val="baseline"/>
              <w:rPr/>
            </w:pPr>
            <w:r>
              <w:rPr/>
              <w:t>La prise de mesures correctives en cas de divergence de qualité ;</w:t>
            </w:r>
          </w:p>
          <w:p>
            <w:pPr>
              <w:pStyle w:val="ListParagraph"/>
              <w:widowControl w:val="false"/>
              <w:numPr>
                <w:ilvl w:val="0"/>
                <w:numId w:val="16"/>
              </w:numPr>
              <w:rPr>
                <w:rFonts w:cs="Arial"/>
                <w:szCs w:val="22"/>
              </w:rPr>
            </w:pPr>
            <w:r>
              <w:rPr>
                <w:rFonts w:cs="Arial"/>
                <w:szCs w:val="22"/>
              </w:rPr>
              <w:t>La participation à la Visite d’Inspection Commune (VIC) pendant la période de préparation ;</w:t>
            </w:r>
          </w:p>
          <w:p>
            <w:pPr>
              <w:pStyle w:val="ListParagraph"/>
              <w:widowControl w:val="false"/>
              <w:numPr>
                <w:ilvl w:val="0"/>
                <w:numId w:val="16"/>
              </w:numPr>
              <w:rPr>
                <w:rFonts w:cs="Arial"/>
                <w:szCs w:val="22"/>
              </w:rPr>
            </w:pPr>
            <w:r>
              <w:rPr>
                <w:rFonts w:cs="Arial"/>
                <w:szCs w:val="22"/>
              </w:rPr>
              <w:t>La réalisation et la mise à jour en cours de chantier du PPSPS qui devra tenir compte des recommandations du PGCSPS et être conforme aux pièces du marché ;</w:t>
            </w:r>
          </w:p>
          <w:p>
            <w:pPr>
              <w:pStyle w:val="Normal"/>
              <w:widowControl w:val="false"/>
              <w:numPr>
                <w:ilvl w:val="0"/>
                <w:numId w:val="16"/>
              </w:numPr>
              <w:overflowPunct w:val="false"/>
              <w:spacing w:before="120" w:after="120"/>
              <w:ind w:hanging="357" w:left="714" w:right="0"/>
              <w:textAlignment w:val="baseline"/>
              <w:rPr>
                <w:rFonts w:cs="Arial"/>
                <w:szCs w:val="22"/>
              </w:rPr>
            </w:pPr>
            <w:r>
              <w:rPr>
                <w:rFonts w:cs="Arial"/>
                <w:szCs w:val="22"/>
              </w:rPr>
              <w:t xml:space="preserve">L’établissement d’un dossier Bruit, </w:t>
            </w:r>
            <w:r>
              <w:rPr>
                <w:rFonts w:cs="Arial"/>
                <w:szCs w:val="22"/>
              </w:rPr>
              <w:t>y compris étude d’impact qui servira à alimenter le dossier Bruit</w:t>
            </w:r>
            <w:r>
              <w:rPr>
                <w:rFonts w:cs="Arial"/>
                <w:szCs w:val="22"/>
              </w:rPr>
              <w:t>,</w:t>
            </w:r>
          </w:p>
          <w:p>
            <w:pPr>
              <w:pStyle w:val="ListParagraph"/>
              <w:widowControl w:val="false"/>
              <w:numPr>
                <w:ilvl w:val="0"/>
                <w:numId w:val="16"/>
              </w:numPr>
              <w:rPr>
                <w:rFonts w:cs="Arial"/>
                <w:szCs w:val="22"/>
              </w:rPr>
            </w:pPr>
            <w:r>
              <w:rPr>
                <w:rFonts w:cs="Arial"/>
                <w:szCs w:val="22"/>
              </w:rPr>
              <w:t>La réalisation et la mise à jour en cours de chantier du PRE (plan de respect de l’environnement) défini au CCTP, et conformément à l’article 4.2.3 du fascicule 65 du CCTG. Cette prestation inclut également la réalisation et la mise à jour encours de chantier du SOSED (Schéma d’Organisation et de Suivi de l’Elimination des Déchets) à joindre au PRE.</w:t>
            </w:r>
          </w:p>
          <w:p>
            <w:pPr>
              <w:pStyle w:val="Normal"/>
              <w:widowControl w:val="false"/>
              <w:rPr>
                <w:rFonts w:cs="Arial"/>
                <w:szCs w:val="22"/>
              </w:rPr>
            </w:pPr>
            <w:r>
              <w:rPr>
                <w:rFonts w:cs="Arial"/>
                <w:szCs w:val="22"/>
              </w:rPr>
            </w:r>
          </w:p>
          <w:p>
            <w:pPr>
              <w:pStyle w:val="Normal"/>
              <w:widowControl w:val="false"/>
              <w:rPr/>
            </w:pPr>
            <w:r>
              <w:rPr/>
              <w:t>Ce prix est scindé en deux fractions :</w:t>
            </w:r>
          </w:p>
          <w:p>
            <w:pPr>
              <w:pStyle w:val="Normal"/>
              <w:widowControl w:val="false"/>
              <w:numPr>
                <w:ilvl w:val="0"/>
                <w:numId w:val="16"/>
              </w:numPr>
              <w:overflowPunct w:val="false"/>
              <w:spacing w:before="120" w:after="120"/>
              <w:textAlignment w:val="baseline"/>
              <w:rPr/>
            </w:pPr>
            <w:r>
              <w:rPr/>
              <w:t>60 % après validation du PAQ, PPSPS, PRE, SOSED, et dossier Bruit.</w:t>
            </w:r>
          </w:p>
          <w:p>
            <w:pPr>
              <w:pStyle w:val="Normal"/>
              <w:widowControl w:val="false"/>
              <w:numPr>
                <w:ilvl w:val="0"/>
                <w:numId w:val="16"/>
              </w:numPr>
              <w:overflowPunct w:val="false"/>
              <w:spacing w:before="120" w:after="120"/>
              <w:textAlignment w:val="baseline"/>
              <w:rPr/>
            </w:pPr>
            <w:r>
              <w:rPr/>
              <w:t xml:space="preserve">40 % </w:t>
            </w:r>
            <w:r>
              <w:rPr>
                <w:szCs w:val="22"/>
              </w:rPr>
              <w:t>après réalisation complète des travaux et réception de l’intégralité des travaux.</w:t>
            </w:r>
          </w:p>
        </w:tc>
      </w:tr>
      <w:tr>
        <w:trPr>
          <w:trHeight w:val="1396" w:hRule="atLeast"/>
        </w:trPr>
        <w:tc>
          <w:tcPr>
            <w:tcW w:w="1259" w:type="dxa"/>
            <w:vMerge w:val="continue"/>
            <w:tcBorders>
              <w:top w:val="single" w:sz="8" w:space="0" w:color="000000"/>
              <w:left w:val="single" w:sz="8" w:space="0" w:color="000000"/>
              <w:bottom w:val="single" w:sz="8" w:space="0" w:color="000000"/>
              <w:right w:val="single" w:sz="8" w:space="0" w:color="000000"/>
            </w:tcBorders>
            <w:vAlign w:val="center"/>
          </w:tcPr>
          <w:p>
            <w:pPr>
              <w:pStyle w:val="Normal"/>
              <w:widowControl/>
              <w:suppressAutoHyphens w:val="true"/>
              <w:bidi w:val="0"/>
              <w:spacing w:before="0" w:after="120"/>
              <w:jc w:val="both"/>
              <w:rPr/>
            </w:pPr>
            <w:r>
              <w:rPr/>
            </w:r>
          </w:p>
        </w:tc>
        <w:tc>
          <w:tcPr>
            <w:tcW w:w="5221" w:type="dxa"/>
            <w:tcBorders>
              <w:top w:val="single" w:sz="8" w:space="0" w:color="000000"/>
              <w:left w:val="single" w:sz="8" w:space="0" w:color="000000"/>
              <w:bottom w:val="single" w:sz="8" w:space="0" w:color="000000"/>
              <w:right w:val="single" w:sz="8" w:space="0" w:color="000000"/>
            </w:tcBorders>
          </w:tcPr>
          <w:p>
            <w:pPr>
              <w:pStyle w:val="Normal"/>
              <w:widowControl w:val="false"/>
              <w:tabs>
                <w:tab w:val="clear" w:pos="708"/>
                <w:tab w:val="center" w:pos="4536" w:leader="none"/>
                <w:tab w:val="right" w:pos="9072" w:leader="none"/>
              </w:tabs>
              <w:rPr>
                <w:b/>
                <w:bCs/>
              </w:rPr>
            </w:pPr>
            <w:r>
              <w:rPr>
                <w:b/>
                <w:bCs/>
              </w:rPr>
              <w:t>Le forfait (en lettres)</w:t>
            </w:r>
          </w:p>
          <w:p>
            <w:pPr>
              <w:pStyle w:val="Normal"/>
              <w:widowControl w:val="false"/>
              <w:tabs>
                <w:tab w:val="clear" w:pos="708"/>
                <w:tab w:val="center" w:pos="4536" w:leader="none"/>
                <w:tab w:val="right" w:pos="9072" w:leader="none"/>
              </w:tabs>
              <w:spacing w:before="0" w:after="120"/>
              <w:rPr>
                <w:b/>
                <w:bCs/>
              </w:rPr>
            </w:pPr>
            <w:r>
              <w:rPr>
                <w:b/>
                <w:bCs/>
              </w:rPr>
            </w:r>
          </w:p>
        </w:tc>
        <w:tc>
          <w:tcPr>
            <w:tcW w:w="2591" w:type="dxa"/>
            <w:tcBorders>
              <w:top w:val="single" w:sz="8" w:space="0" w:color="000000"/>
              <w:left w:val="single" w:sz="8" w:space="0" w:color="000000"/>
              <w:bottom w:val="single" w:sz="8" w:space="0" w:color="000000"/>
              <w:right w:val="single" w:sz="8" w:space="0" w:color="000000"/>
            </w:tcBorders>
          </w:tcPr>
          <w:p>
            <w:pPr>
              <w:pStyle w:val="Normal"/>
              <w:widowControl w:val="false"/>
              <w:tabs>
                <w:tab w:val="clear" w:pos="708"/>
                <w:tab w:val="center" w:pos="4536" w:leader="none"/>
                <w:tab w:val="right" w:pos="9072" w:leader="none"/>
              </w:tabs>
              <w:rPr>
                <w:b/>
                <w:bCs/>
              </w:rPr>
            </w:pPr>
            <w:r>
              <w:rPr>
                <w:b/>
                <w:bCs/>
              </w:rPr>
              <w:t>Le forfait (en chiffres)</w:t>
            </w:r>
          </w:p>
          <w:p>
            <w:pPr>
              <w:pStyle w:val="Normal"/>
              <w:widowControl w:val="false"/>
              <w:tabs>
                <w:tab w:val="clear" w:pos="708"/>
                <w:tab w:val="center" w:pos="4536" w:leader="none"/>
                <w:tab w:val="right" w:pos="9072" w:leader="none"/>
              </w:tabs>
              <w:spacing w:before="0" w:after="120"/>
              <w:rPr>
                <w:b/>
                <w:bCs/>
              </w:rPr>
            </w:pPr>
            <w:r>
              <w:rPr>
                <w:b/>
                <w:bCs/>
              </w:rPr>
            </w:r>
          </w:p>
        </w:tc>
      </w:tr>
    </w:tbl>
    <w:p>
      <w:pPr>
        <w:pStyle w:val="Normal"/>
        <w:spacing w:before="0" w:after="0"/>
        <w:jc w:val="left"/>
        <w:rPr/>
      </w:pPr>
      <w:r>
        <w:rPr/>
      </w:r>
      <w:r>
        <w:br w:type="page"/>
      </w:r>
    </w:p>
    <w:p>
      <w:pPr>
        <w:pStyle w:val="Normal"/>
        <w:spacing w:before="0" w:after="0"/>
        <w:jc w:val="left"/>
        <w:rPr/>
      </w:pPr>
      <w:r>
        <w:rPr/>
      </w:r>
    </w:p>
    <w:tbl>
      <w:tblPr>
        <w:tblW w:w="9071" w:type="dxa"/>
        <w:jc w:val="left"/>
        <w:tblInd w:w="108" w:type="dxa"/>
        <w:tblLayout w:type="fixed"/>
        <w:tblCellMar>
          <w:top w:w="0" w:type="dxa"/>
          <w:left w:w="108" w:type="dxa"/>
          <w:bottom w:w="0" w:type="dxa"/>
          <w:right w:w="108" w:type="dxa"/>
        </w:tblCellMar>
      </w:tblPr>
      <w:tblGrid>
        <w:gridCol w:w="1259"/>
        <w:gridCol w:w="5221"/>
        <w:gridCol w:w="2591"/>
      </w:tblGrid>
      <w:tr>
        <w:trPr/>
        <w:tc>
          <w:tcPr>
            <w:tcW w:w="1259" w:type="dxa"/>
            <w:tcBorders>
              <w:top w:val="single" w:sz="8" w:space="0" w:color="000000"/>
              <w:left w:val="single" w:sz="8" w:space="0" w:color="000000"/>
              <w:bottom w:val="single" w:sz="8" w:space="0" w:color="000000"/>
              <w:right w:val="single" w:sz="8" w:space="0" w:color="000000"/>
            </w:tcBorders>
            <w:shd w:fill="009782" w:val="clear"/>
          </w:tcPr>
          <w:p>
            <w:pPr>
              <w:pStyle w:val="Normal"/>
              <w:widowControl w:val="false"/>
              <w:tabs>
                <w:tab w:val="clear" w:pos="708"/>
                <w:tab w:val="center" w:pos="4536" w:leader="none"/>
                <w:tab w:val="right" w:pos="9072" w:leader="none"/>
              </w:tabs>
              <w:spacing w:before="120" w:after="120"/>
              <w:jc w:val="center"/>
              <w:rPr>
                <w:b/>
                <w:bCs/>
                <w:i/>
                <w:color w:val="FFFFFF"/>
              </w:rPr>
            </w:pPr>
            <w:r>
              <w:rPr>
                <w:b/>
                <w:bCs/>
                <w:i/>
                <w:color w:val="FFFFFF"/>
              </w:rPr>
              <w:t>N° PRIX</w:t>
            </w:r>
          </w:p>
        </w:tc>
        <w:tc>
          <w:tcPr>
            <w:tcW w:w="7812" w:type="dxa"/>
            <w:gridSpan w:val="2"/>
            <w:tcBorders>
              <w:top w:val="single" w:sz="8" w:space="0" w:color="000000"/>
              <w:left w:val="single" w:sz="8" w:space="0" w:color="000000"/>
              <w:bottom w:val="single" w:sz="8" w:space="0" w:color="000000"/>
              <w:right w:val="single" w:sz="8" w:space="0" w:color="000000"/>
            </w:tcBorders>
            <w:shd w:fill="009782" w:val="clear"/>
            <w:vAlign w:val="center"/>
          </w:tcPr>
          <w:p>
            <w:pPr>
              <w:pStyle w:val="Normal"/>
              <w:widowControl w:val="false"/>
              <w:tabs>
                <w:tab w:val="clear" w:pos="708"/>
                <w:tab w:val="center" w:pos="4536" w:leader="none"/>
                <w:tab w:val="right" w:pos="9072" w:leader="none"/>
              </w:tabs>
              <w:spacing w:before="120" w:after="120"/>
              <w:jc w:val="center"/>
              <w:rPr>
                <w:b/>
                <w:bCs/>
                <w:i/>
                <w:color w:val="FFFFFF"/>
              </w:rPr>
            </w:pPr>
            <w:r>
              <w:rPr>
                <w:b/>
                <w:bCs/>
                <w:i/>
                <w:color w:val="FFFFFF"/>
              </w:rPr>
              <w:t>DESIGNATION DES OUVRAGES ET PRIX HORS TAXE</w:t>
            </w:r>
          </w:p>
        </w:tc>
      </w:tr>
      <w:tr>
        <w:trPr/>
        <w:tc>
          <w:tcPr>
            <w:tcW w:w="1259" w:type="dxa"/>
            <w:vMerge w:val="restart"/>
            <w:tcBorders>
              <w:top w:val="single" w:sz="8" w:space="0" w:color="000000"/>
              <w:left w:val="single" w:sz="8" w:space="0" w:color="000000"/>
              <w:bottom w:val="single" w:sz="8" w:space="0" w:color="000000"/>
              <w:right w:val="single" w:sz="8" w:space="0" w:color="000000"/>
            </w:tcBorders>
          </w:tcPr>
          <w:p>
            <w:pPr>
              <w:pStyle w:val="Normal"/>
              <w:widowControl w:val="false"/>
              <w:spacing w:before="0" w:after="120"/>
              <w:jc w:val="center"/>
              <w:rPr>
                <w:b/>
              </w:rPr>
            </w:pPr>
            <w:r>
              <w:rPr>
                <w:b/>
              </w:rPr>
              <w:t>104</w:t>
            </w:r>
          </w:p>
        </w:tc>
        <w:tc>
          <w:tcPr>
            <w:tcW w:w="7812" w:type="dxa"/>
            <w:gridSpan w:val="2"/>
            <w:tcBorders>
              <w:top w:val="single" w:sz="8" w:space="0" w:color="000000"/>
              <w:left w:val="single" w:sz="8" w:space="0" w:color="000000"/>
              <w:bottom w:val="single" w:sz="8" w:space="0" w:color="000000"/>
              <w:right w:val="single" w:sz="8" w:space="0" w:color="000000"/>
            </w:tcBorders>
            <w:vAlign w:val="center"/>
          </w:tcPr>
          <w:p>
            <w:pPr>
              <w:pStyle w:val="Normal"/>
              <w:widowControl w:val="false"/>
              <w:rPr>
                <w:b/>
                <w:bCs/>
                <w:smallCaps/>
                <w:color w:val="339966"/>
                <w:spacing w:val="-6"/>
                <w:sz w:val="24"/>
                <w:szCs w:val="24"/>
              </w:rPr>
            </w:pPr>
            <w:r>
              <w:rPr>
                <w:b/>
                <w:bCs/>
                <w:smallCaps/>
                <w:color w:val="339966"/>
                <w:spacing w:val="-6"/>
                <w:sz w:val="24"/>
                <w:szCs w:val="24"/>
              </w:rPr>
              <w:t>Dossier de récolement</w:t>
            </w:r>
          </w:p>
          <w:p>
            <w:pPr>
              <w:pStyle w:val="Normal"/>
              <w:widowControl w:val="false"/>
              <w:rPr/>
            </w:pPr>
            <w:r>
              <w:rPr/>
              <w:t>Ce prix rémunère, au forfait, la remise en fin de travaux du dossier de récolement des ouvrages réellement exécutés, conformément à l’article 4.2.4 du fascicule 65 du CCTG et conformément aux prescriptions du CCTP. Il inclut tous les frais de modification et de reproduction et ce quelles que soient les mises à jour demandées par le maitre d’œuvre et/ou le maitre d’ouvrage.</w:t>
            </w:r>
          </w:p>
          <w:p>
            <w:pPr>
              <w:pStyle w:val="Normal"/>
              <w:widowControl w:val="false"/>
              <w:rPr/>
            </w:pPr>
            <w:r>
              <w:rPr/>
            </w:r>
          </w:p>
          <w:p>
            <w:pPr>
              <w:pStyle w:val="Normal"/>
              <w:widowControl w:val="false"/>
              <w:rPr/>
            </w:pPr>
            <w:r>
              <w:rPr/>
              <w:t>Il comprend notamment :</w:t>
            </w:r>
          </w:p>
          <w:p>
            <w:pPr>
              <w:pStyle w:val="Normal"/>
              <w:widowControl w:val="false"/>
              <w:numPr>
                <w:ilvl w:val="0"/>
                <w:numId w:val="14"/>
              </w:numPr>
              <w:rPr/>
            </w:pPr>
            <w:r>
              <w:rPr/>
              <w:t>Une liste des pièces constituant le dossier ;</w:t>
            </w:r>
          </w:p>
          <w:p>
            <w:pPr>
              <w:pStyle w:val="Normal"/>
              <w:widowControl w:val="false"/>
              <w:numPr>
                <w:ilvl w:val="0"/>
                <w:numId w:val="14"/>
              </w:numPr>
              <w:rPr/>
            </w:pPr>
            <w:r>
              <w:rPr/>
              <w:t>Les plans et notes de calculs conformes à l’exécution ;</w:t>
            </w:r>
          </w:p>
          <w:p>
            <w:pPr>
              <w:pStyle w:val="Normal"/>
              <w:widowControl w:val="false"/>
              <w:numPr>
                <w:ilvl w:val="0"/>
                <w:numId w:val="14"/>
              </w:numPr>
              <w:rPr/>
            </w:pPr>
            <w:r>
              <w:rPr/>
              <w:t>Le dossier qualité (PAQ, procédures, agréments matériaux, fiches de non-conformité, PV réception des fournitures et matériaux, résultats des contrôles internes, externes et extérieurs) ;</w:t>
            </w:r>
          </w:p>
          <w:p>
            <w:pPr>
              <w:pStyle w:val="Normal"/>
              <w:widowControl w:val="false"/>
              <w:numPr>
                <w:ilvl w:val="0"/>
                <w:numId w:val="14"/>
              </w:numPr>
              <w:rPr/>
            </w:pPr>
            <w:r>
              <w:rPr/>
              <w:t>Un rapport photographique des travaux exécutés ainsi que de l’ouvrage complet et de ses abords ;</w:t>
            </w:r>
          </w:p>
          <w:p>
            <w:pPr>
              <w:pStyle w:val="Normal"/>
              <w:widowControl w:val="false"/>
              <w:numPr>
                <w:ilvl w:val="0"/>
                <w:numId w:val="14"/>
              </w:numPr>
              <w:rPr/>
            </w:pPr>
            <w:r>
              <w:rPr/>
              <w:t>Le programme et le calendrier réel d’exécution des travaux ;</w:t>
            </w:r>
          </w:p>
          <w:p>
            <w:pPr>
              <w:pStyle w:val="Normal"/>
              <w:widowControl w:val="false"/>
              <w:numPr>
                <w:ilvl w:val="0"/>
                <w:numId w:val="14"/>
              </w:numPr>
              <w:rPr/>
            </w:pPr>
            <w:r>
              <w:rPr/>
              <w:t>Les quantités mises en œuvre,</w:t>
            </w:r>
          </w:p>
          <w:p>
            <w:pPr>
              <w:pStyle w:val="Normal"/>
              <w:widowControl w:val="false"/>
              <w:numPr>
                <w:ilvl w:val="0"/>
                <w:numId w:val="14"/>
              </w:numPr>
              <w:rPr/>
            </w:pPr>
            <w:r>
              <w:rPr/>
              <w:t>L’ensemble des comptes-rendus des réunions ;</w:t>
            </w:r>
          </w:p>
          <w:p>
            <w:pPr>
              <w:pStyle w:val="Normal"/>
              <w:widowControl w:val="false"/>
              <w:numPr>
                <w:ilvl w:val="0"/>
                <w:numId w:val="14"/>
              </w:numPr>
              <w:rPr/>
            </w:pPr>
            <w:r>
              <w:rPr/>
              <w:t>Les rapports des essais de convenance ;</w:t>
            </w:r>
          </w:p>
          <w:p>
            <w:pPr>
              <w:pStyle w:val="Normal"/>
              <w:widowControl w:val="false"/>
              <w:numPr>
                <w:ilvl w:val="0"/>
                <w:numId w:val="14"/>
              </w:numPr>
              <w:rPr/>
            </w:pPr>
            <w:r>
              <w:rPr/>
              <w:t>Les journaux de chantier ;</w:t>
            </w:r>
          </w:p>
          <w:p>
            <w:pPr>
              <w:pStyle w:val="Normal"/>
              <w:widowControl w:val="false"/>
              <w:numPr>
                <w:ilvl w:val="0"/>
                <w:numId w:val="14"/>
              </w:numPr>
              <w:rPr/>
            </w:pPr>
            <w:r>
              <w:rPr/>
              <w:t>Les pièces du marché ;</w:t>
            </w:r>
          </w:p>
          <w:p>
            <w:pPr>
              <w:pStyle w:val="ListParagraph"/>
              <w:widowControl w:val="false"/>
              <w:numPr>
                <w:ilvl w:val="0"/>
                <w:numId w:val="14"/>
              </w:numPr>
              <w:rPr/>
            </w:pPr>
            <w:r>
              <w:rPr/>
              <w:t>L’ensemble des ordres de service.</w:t>
            </w:r>
          </w:p>
          <w:p>
            <w:pPr>
              <w:pStyle w:val="Normal"/>
              <w:widowControl w:val="false"/>
              <w:rPr/>
            </w:pPr>
            <w:r>
              <w:rPr/>
            </w:r>
          </w:p>
          <w:p>
            <w:pPr>
              <w:pStyle w:val="Normal"/>
              <w:widowControl w:val="false"/>
              <w:spacing w:before="0" w:after="120"/>
              <w:rPr/>
            </w:pPr>
            <w:r>
              <w:rPr/>
              <w:t>Ce forfait est réglé à 100% après remise du dossier de récolement complet et acceptation par le maître d’ouvrage du dossier.</w:t>
            </w:r>
          </w:p>
        </w:tc>
      </w:tr>
      <w:tr>
        <w:trPr>
          <w:trHeight w:val="1396" w:hRule="atLeast"/>
        </w:trPr>
        <w:tc>
          <w:tcPr>
            <w:tcW w:w="1259" w:type="dxa"/>
            <w:vMerge w:val="continue"/>
            <w:tcBorders>
              <w:top w:val="single" w:sz="8" w:space="0" w:color="000000"/>
              <w:left w:val="single" w:sz="8" w:space="0" w:color="000000"/>
              <w:bottom w:val="single" w:sz="8" w:space="0" w:color="000000"/>
              <w:right w:val="single" w:sz="8" w:space="0" w:color="000000"/>
            </w:tcBorders>
            <w:vAlign w:val="center"/>
          </w:tcPr>
          <w:p>
            <w:pPr>
              <w:pStyle w:val="Normal"/>
              <w:widowControl/>
              <w:suppressAutoHyphens w:val="true"/>
              <w:bidi w:val="0"/>
              <w:spacing w:before="0" w:after="120"/>
              <w:jc w:val="both"/>
              <w:rPr/>
            </w:pPr>
            <w:r>
              <w:rPr/>
            </w:r>
          </w:p>
        </w:tc>
        <w:tc>
          <w:tcPr>
            <w:tcW w:w="5221" w:type="dxa"/>
            <w:tcBorders>
              <w:top w:val="single" w:sz="8" w:space="0" w:color="000000"/>
              <w:left w:val="single" w:sz="8" w:space="0" w:color="000000"/>
              <w:bottom w:val="single" w:sz="8" w:space="0" w:color="000000"/>
              <w:right w:val="single" w:sz="8" w:space="0" w:color="000000"/>
            </w:tcBorders>
          </w:tcPr>
          <w:p>
            <w:pPr>
              <w:pStyle w:val="Normal"/>
              <w:widowControl w:val="false"/>
              <w:tabs>
                <w:tab w:val="clear" w:pos="708"/>
                <w:tab w:val="center" w:pos="4536" w:leader="none"/>
                <w:tab w:val="right" w:pos="9072" w:leader="none"/>
              </w:tabs>
              <w:rPr>
                <w:b/>
                <w:bCs/>
              </w:rPr>
            </w:pPr>
            <w:r>
              <w:rPr>
                <w:b/>
                <w:bCs/>
              </w:rPr>
              <w:t>Le forfait (en lettres)</w:t>
            </w:r>
          </w:p>
          <w:p>
            <w:pPr>
              <w:pStyle w:val="Normal"/>
              <w:widowControl w:val="false"/>
              <w:tabs>
                <w:tab w:val="clear" w:pos="708"/>
                <w:tab w:val="center" w:pos="4536" w:leader="none"/>
                <w:tab w:val="right" w:pos="9072" w:leader="none"/>
              </w:tabs>
              <w:spacing w:before="0" w:after="120"/>
              <w:rPr>
                <w:b/>
                <w:bCs/>
              </w:rPr>
            </w:pPr>
            <w:r>
              <w:rPr>
                <w:b/>
                <w:bCs/>
              </w:rPr>
            </w:r>
          </w:p>
        </w:tc>
        <w:tc>
          <w:tcPr>
            <w:tcW w:w="2591" w:type="dxa"/>
            <w:tcBorders>
              <w:top w:val="single" w:sz="8" w:space="0" w:color="000000"/>
              <w:left w:val="single" w:sz="8" w:space="0" w:color="000000"/>
              <w:bottom w:val="single" w:sz="8" w:space="0" w:color="000000"/>
              <w:right w:val="single" w:sz="8" w:space="0" w:color="000000"/>
            </w:tcBorders>
          </w:tcPr>
          <w:p>
            <w:pPr>
              <w:pStyle w:val="Normal"/>
              <w:widowControl w:val="false"/>
              <w:tabs>
                <w:tab w:val="clear" w:pos="708"/>
                <w:tab w:val="center" w:pos="4536" w:leader="none"/>
                <w:tab w:val="right" w:pos="9072" w:leader="none"/>
              </w:tabs>
              <w:rPr>
                <w:b/>
                <w:bCs/>
              </w:rPr>
            </w:pPr>
            <w:r>
              <w:rPr>
                <w:b/>
                <w:bCs/>
              </w:rPr>
              <w:t>Le forfait (en chiffres)</w:t>
            </w:r>
          </w:p>
          <w:p>
            <w:pPr>
              <w:pStyle w:val="Normal"/>
              <w:widowControl w:val="false"/>
              <w:tabs>
                <w:tab w:val="clear" w:pos="708"/>
                <w:tab w:val="center" w:pos="4536" w:leader="none"/>
                <w:tab w:val="right" w:pos="9072" w:leader="none"/>
              </w:tabs>
              <w:spacing w:before="0" w:after="120"/>
              <w:rPr>
                <w:b/>
                <w:bCs/>
              </w:rPr>
            </w:pPr>
            <w:r>
              <w:rPr>
                <w:b/>
                <w:bCs/>
              </w:rPr>
            </w:r>
          </w:p>
        </w:tc>
      </w:tr>
    </w:tbl>
    <w:tbl>
      <w:tblPr>
        <w:tblW w:w="9071" w:type="dxa"/>
        <w:jc w:val="left"/>
        <w:tblInd w:w="108" w:type="dxa"/>
        <w:tblLayout w:type="fixed"/>
        <w:tblCellMar>
          <w:top w:w="0" w:type="dxa"/>
          <w:left w:w="108" w:type="dxa"/>
          <w:bottom w:w="0" w:type="dxa"/>
          <w:right w:w="108" w:type="dxa"/>
        </w:tblCellMar>
      </w:tblPr>
      <w:tblGrid>
        <w:gridCol w:w="1259"/>
        <w:gridCol w:w="5221"/>
        <w:gridCol w:w="2591"/>
      </w:tblGrid>
      <w:tr>
        <w:trPr/>
        <w:tc>
          <w:tcPr>
            <w:tcW w:w="1259" w:type="dxa"/>
            <w:vMerge w:val="restart"/>
            <w:tcBorders>
              <w:top w:val="single" w:sz="8" w:space="0" w:color="000000"/>
              <w:left w:val="single" w:sz="8" w:space="0" w:color="000000"/>
              <w:bottom w:val="single" w:sz="8" w:space="0" w:color="000000"/>
              <w:right w:val="single" w:sz="8" w:space="0" w:color="000000"/>
            </w:tcBorders>
          </w:tcPr>
          <w:p>
            <w:pPr>
              <w:pStyle w:val="Normal"/>
              <w:widowControl w:val="false"/>
              <w:spacing w:before="0" w:after="120"/>
              <w:jc w:val="center"/>
              <w:rPr>
                <w:b/>
              </w:rPr>
            </w:pPr>
            <w:r>
              <w:rPr>
                <w:b/>
              </w:rPr>
              <w:t>10</w:t>
            </w:r>
            <w:r>
              <w:rPr>
                <w:b/>
              </w:rPr>
              <w:t>5</w:t>
            </w:r>
          </w:p>
        </w:tc>
        <w:tc>
          <w:tcPr>
            <w:tcW w:w="7812" w:type="dxa"/>
            <w:gridSpan w:val="2"/>
            <w:tcBorders>
              <w:top w:val="single" w:sz="8" w:space="0" w:color="000000"/>
              <w:left w:val="single" w:sz="8" w:space="0" w:color="000000"/>
              <w:bottom w:val="single" w:sz="8" w:space="0" w:color="000000"/>
              <w:right w:val="single" w:sz="8" w:space="0" w:color="000000"/>
            </w:tcBorders>
            <w:vAlign w:val="center"/>
          </w:tcPr>
          <w:p>
            <w:pPr>
              <w:pStyle w:val="Normal"/>
              <w:widowControl w:val="false"/>
              <w:rPr>
                <w:b/>
                <w:bCs/>
                <w:smallCaps/>
                <w:color w:val="339966"/>
                <w:spacing w:val="-6"/>
                <w:sz w:val="24"/>
                <w:szCs w:val="24"/>
              </w:rPr>
            </w:pPr>
            <w:r>
              <w:rPr>
                <w:b/>
                <w:bCs/>
                <w:smallCaps/>
                <w:color w:val="339966"/>
                <w:spacing w:val="-6"/>
                <w:sz w:val="24"/>
                <w:szCs w:val="24"/>
              </w:rPr>
              <w:t>Fourniture et mise en place de sonomètres pendant la durée du chantier</w:t>
            </w:r>
          </w:p>
          <w:p>
            <w:pPr>
              <w:pStyle w:val="Normal"/>
              <w:widowControl w:val="false"/>
              <w:rPr/>
            </w:pPr>
            <w:r>
              <w:rPr/>
              <w:t xml:space="preserve">Ce prix rémunère, au forfait, la </w:t>
            </w:r>
            <w:r>
              <w:rPr/>
              <w:t>fourniture et mise en place de sonomètres pendant la durée du chantier.</w:t>
            </w:r>
          </w:p>
          <w:p>
            <w:pPr>
              <w:pStyle w:val="Normal"/>
              <w:widowControl w:val="false"/>
              <w:rPr/>
            </w:pPr>
            <w:r>
              <w:rPr/>
            </w:r>
          </w:p>
          <w:p>
            <w:pPr>
              <w:pStyle w:val="Normal"/>
              <w:widowControl w:val="false"/>
              <w:rPr/>
            </w:pPr>
            <w:r>
              <w:rPr/>
              <w:t>Ce prix comprend notamment :</w:t>
            </w:r>
          </w:p>
          <w:p>
            <w:pPr>
              <w:pStyle w:val="Normal"/>
              <w:widowControl w:val="false"/>
              <w:rPr/>
            </w:pPr>
            <w:r>
              <w:rPr/>
              <w:t xml:space="preserve">- </w:t>
            </w:r>
            <w:r>
              <w:rPr/>
              <w:t>la fourniture et la mise en place de sonomètres en nombre suffisant au niveau du chantier (sur et sous ouvrage),</w:t>
            </w:r>
          </w:p>
          <w:p>
            <w:pPr>
              <w:pStyle w:val="Normal"/>
              <w:widowControl w:val="false"/>
              <w:rPr/>
            </w:pPr>
            <w:r>
              <w:rPr/>
              <w:t xml:space="preserve">- </w:t>
            </w:r>
            <w:r>
              <w:rPr/>
              <w:t>la réalisation des mesures d’émergence de bruit,</w:t>
            </w:r>
          </w:p>
          <w:p>
            <w:pPr>
              <w:pStyle w:val="Normal"/>
              <w:widowControl w:val="false"/>
              <w:rPr/>
            </w:pPr>
            <w:r>
              <w:rPr/>
              <w:t>- l’analyse et la comparaison avec les valeurs seuils,</w:t>
            </w:r>
          </w:p>
          <w:p>
            <w:pPr>
              <w:pStyle w:val="Normal"/>
              <w:widowControl w:val="false"/>
              <w:rPr/>
            </w:pPr>
            <w:r>
              <w:rPr/>
              <w:t>- la fourniture de bilan à chaque phase de travaux (a minima un par week-end court pour les travaux sous ouvrage et un par semaine pour les travaux sur ouvrage)</w:t>
            </w:r>
          </w:p>
          <w:p>
            <w:pPr>
              <w:pStyle w:val="Normal"/>
              <w:widowControl w:val="false"/>
              <w:rPr/>
            </w:pPr>
            <w:r>
              <w:rPr/>
              <w:t>- la fourniture des fiches correctives si besoin en cas de dépassement des seuils admissibles,</w:t>
            </w:r>
          </w:p>
          <w:p>
            <w:pPr>
              <w:pStyle w:val="Normal"/>
              <w:widowControl w:val="false"/>
              <w:rPr/>
            </w:pPr>
            <w:r>
              <w:rPr/>
              <w:t xml:space="preserve">- </w:t>
            </w:r>
            <w:r>
              <w:rPr/>
              <w:t xml:space="preserve">la </w:t>
            </w:r>
            <w:r>
              <w:rPr/>
              <w:t xml:space="preserve">remise en fin de travaux </w:t>
            </w:r>
            <w:r>
              <w:rPr/>
              <w:t>d’un bilan global des bruits en phase chantier.</w:t>
            </w:r>
          </w:p>
          <w:p>
            <w:pPr>
              <w:pStyle w:val="Normal"/>
              <w:widowControl w:val="false"/>
              <w:rPr/>
            </w:pPr>
            <w:r>
              <w:rPr/>
            </w:r>
          </w:p>
          <w:p>
            <w:pPr>
              <w:pStyle w:val="Normal"/>
              <w:widowControl w:val="false"/>
              <w:rPr/>
            </w:pPr>
            <w:r>
              <w:rPr/>
              <w:t>Ce prix ne comprend pas les essais de réception du système anti-bruit, rémunérés par le prix 604.</w:t>
            </w:r>
          </w:p>
          <w:p>
            <w:pPr>
              <w:pStyle w:val="Normal"/>
              <w:widowControl w:val="false"/>
              <w:rPr/>
            </w:pPr>
            <w:r>
              <w:rPr/>
            </w:r>
          </w:p>
          <w:p>
            <w:pPr>
              <w:pStyle w:val="Normal"/>
              <w:widowControl w:val="false"/>
              <w:rPr/>
            </w:pPr>
            <w:r>
              <w:rPr/>
              <w:t>Ce prix est scindé en deux fractions :</w:t>
            </w:r>
          </w:p>
          <w:p>
            <w:pPr>
              <w:pStyle w:val="Normal"/>
              <w:widowControl w:val="false"/>
              <w:numPr>
                <w:ilvl w:val="0"/>
                <w:numId w:val="16"/>
              </w:numPr>
              <w:overflowPunct w:val="false"/>
              <w:spacing w:before="120" w:after="120"/>
              <w:textAlignment w:val="baseline"/>
              <w:rPr/>
            </w:pPr>
            <w:r>
              <w:rPr/>
              <w:t>6</w:t>
            </w:r>
            <w:r>
              <w:rPr/>
              <w:t xml:space="preserve">0 % </w:t>
            </w:r>
            <w:r>
              <w:rPr/>
              <w:t>après la pose des sonomètres</w:t>
            </w:r>
          </w:p>
          <w:p>
            <w:pPr>
              <w:pStyle w:val="Normal"/>
              <w:widowControl w:val="false"/>
              <w:numPr>
                <w:ilvl w:val="0"/>
                <w:numId w:val="16"/>
              </w:numPr>
              <w:overflowPunct w:val="false"/>
              <w:spacing w:before="120" w:after="120"/>
              <w:textAlignment w:val="baseline"/>
              <w:rPr/>
            </w:pPr>
            <w:r>
              <w:rPr/>
              <w:t>4</w:t>
            </w:r>
            <w:r>
              <w:rPr/>
              <w:t xml:space="preserve">0 % </w:t>
            </w:r>
            <w:r>
              <w:rPr>
                <w:szCs w:val="22"/>
              </w:rPr>
              <w:t xml:space="preserve">après réalisation complète des travaux et </w:t>
            </w:r>
            <w:r>
              <w:rPr>
                <w:szCs w:val="22"/>
              </w:rPr>
              <w:t>remise du bilan global des bruits en phase chantier</w:t>
            </w:r>
            <w:r>
              <w:rPr>
                <w:szCs w:val="22"/>
              </w:rPr>
              <w:t>.</w:t>
            </w:r>
          </w:p>
        </w:tc>
      </w:tr>
      <w:tr>
        <w:trPr>
          <w:trHeight w:val="1396" w:hRule="atLeast"/>
        </w:trPr>
        <w:tc>
          <w:tcPr>
            <w:tcW w:w="1259" w:type="dxa"/>
            <w:vMerge w:val="continue"/>
            <w:tcBorders>
              <w:top w:val="single" w:sz="8" w:space="0" w:color="000000"/>
              <w:left w:val="single" w:sz="8" w:space="0" w:color="000000"/>
              <w:bottom w:val="single" w:sz="8" w:space="0" w:color="000000"/>
              <w:right w:val="single" w:sz="8" w:space="0" w:color="000000"/>
            </w:tcBorders>
            <w:vAlign w:val="center"/>
          </w:tcPr>
          <w:p>
            <w:pPr>
              <w:pStyle w:val="Normal"/>
              <w:widowControl/>
              <w:suppressAutoHyphens w:val="true"/>
              <w:bidi w:val="0"/>
              <w:spacing w:before="0" w:after="120"/>
              <w:jc w:val="both"/>
              <w:rPr/>
            </w:pPr>
            <w:r>
              <w:rPr/>
            </w:r>
          </w:p>
        </w:tc>
        <w:tc>
          <w:tcPr>
            <w:tcW w:w="5221" w:type="dxa"/>
            <w:tcBorders>
              <w:top w:val="single" w:sz="8" w:space="0" w:color="000000"/>
              <w:left w:val="single" w:sz="8" w:space="0" w:color="000000"/>
              <w:bottom w:val="single" w:sz="8" w:space="0" w:color="000000"/>
              <w:right w:val="single" w:sz="8" w:space="0" w:color="000000"/>
            </w:tcBorders>
          </w:tcPr>
          <w:p>
            <w:pPr>
              <w:pStyle w:val="Normal"/>
              <w:widowControl w:val="false"/>
              <w:tabs>
                <w:tab w:val="clear" w:pos="708"/>
                <w:tab w:val="center" w:pos="4536" w:leader="none"/>
                <w:tab w:val="right" w:pos="9072" w:leader="none"/>
              </w:tabs>
              <w:rPr>
                <w:b/>
                <w:bCs/>
              </w:rPr>
            </w:pPr>
            <w:r>
              <w:rPr>
                <w:b/>
                <w:bCs/>
              </w:rPr>
              <w:t>Le forfait (en lettres)</w:t>
            </w:r>
          </w:p>
          <w:p>
            <w:pPr>
              <w:pStyle w:val="Normal"/>
              <w:widowControl w:val="false"/>
              <w:tabs>
                <w:tab w:val="clear" w:pos="708"/>
                <w:tab w:val="center" w:pos="4536" w:leader="none"/>
                <w:tab w:val="right" w:pos="9072" w:leader="none"/>
              </w:tabs>
              <w:spacing w:before="0" w:after="120"/>
              <w:rPr>
                <w:b/>
                <w:bCs/>
              </w:rPr>
            </w:pPr>
            <w:r>
              <w:rPr>
                <w:b/>
                <w:bCs/>
              </w:rPr>
            </w:r>
          </w:p>
        </w:tc>
        <w:tc>
          <w:tcPr>
            <w:tcW w:w="2591" w:type="dxa"/>
            <w:tcBorders>
              <w:top w:val="single" w:sz="8" w:space="0" w:color="000000"/>
              <w:left w:val="single" w:sz="8" w:space="0" w:color="000000"/>
              <w:bottom w:val="single" w:sz="8" w:space="0" w:color="000000"/>
              <w:right w:val="single" w:sz="8" w:space="0" w:color="000000"/>
            </w:tcBorders>
          </w:tcPr>
          <w:p>
            <w:pPr>
              <w:pStyle w:val="Normal"/>
              <w:widowControl w:val="false"/>
              <w:tabs>
                <w:tab w:val="clear" w:pos="708"/>
                <w:tab w:val="center" w:pos="4536" w:leader="none"/>
                <w:tab w:val="right" w:pos="9072" w:leader="none"/>
              </w:tabs>
              <w:rPr>
                <w:b/>
                <w:bCs/>
              </w:rPr>
            </w:pPr>
            <w:r>
              <w:rPr>
                <w:b/>
                <w:bCs/>
              </w:rPr>
              <w:t>Le forfait (en chiffres)</w:t>
            </w:r>
          </w:p>
          <w:p>
            <w:pPr>
              <w:pStyle w:val="Normal"/>
              <w:widowControl w:val="false"/>
              <w:tabs>
                <w:tab w:val="clear" w:pos="708"/>
                <w:tab w:val="center" w:pos="4536" w:leader="none"/>
                <w:tab w:val="right" w:pos="9072" w:leader="none"/>
              </w:tabs>
              <w:spacing w:before="0" w:after="120"/>
              <w:rPr>
                <w:b/>
                <w:bCs/>
              </w:rPr>
            </w:pPr>
            <w:r>
              <w:rPr>
                <w:b/>
                <w:bCs/>
              </w:rPr>
            </w:r>
          </w:p>
        </w:tc>
      </w:tr>
    </w:tbl>
    <w:p>
      <w:pPr>
        <w:pStyle w:val="Heading1"/>
        <w:numPr>
          <w:ilvl w:val="0"/>
          <w:numId w:val="26"/>
        </w:numPr>
        <w:rPr/>
      </w:pPr>
      <w:r>
        <w:br w:type="page"/>
      </w:r>
      <w:bookmarkStart w:id="16" w:name="__RefHeading___Toc8874_2322646747"/>
      <w:bookmarkStart w:id="17" w:name="_Toc221868245"/>
      <w:bookmarkEnd w:id="16"/>
      <w:r>
        <w:rPr/>
        <w:t>Travaux de purge des verrières</w:t>
      </w:r>
      <w:bookmarkEnd w:id="17"/>
      <w:r>
        <w:rPr/>
        <w:t xml:space="preserve"> inférieures</w:t>
      </w:r>
    </w:p>
    <w:tbl>
      <w:tblPr>
        <w:tblW w:w="9071" w:type="dxa"/>
        <w:jc w:val="left"/>
        <w:tblInd w:w="108" w:type="dxa"/>
        <w:tblLayout w:type="fixed"/>
        <w:tblCellMar>
          <w:top w:w="0" w:type="dxa"/>
          <w:left w:w="108" w:type="dxa"/>
          <w:bottom w:w="0" w:type="dxa"/>
          <w:right w:w="108" w:type="dxa"/>
        </w:tblCellMar>
      </w:tblPr>
      <w:tblGrid>
        <w:gridCol w:w="1259"/>
        <w:gridCol w:w="5221"/>
        <w:gridCol w:w="2591"/>
      </w:tblGrid>
      <w:tr>
        <w:trPr/>
        <w:tc>
          <w:tcPr>
            <w:tcW w:w="1259" w:type="dxa"/>
            <w:tcBorders>
              <w:top w:val="single" w:sz="8" w:space="0" w:color="000000"/>
              <w:left w:val="single" w:sz="8" w:space="0" w:color="000000"/>
              <w:bottom w:val="single" w:sz="8" w:space="0" w:color="000000"/>
              <w:right w:val="single" w:sz="8" w:space="0" w:color="000000"/>
            </w:tcBorders>
            <w:shd w:fill="009782" w:val="clear"/>
          </w:tcPr>
          <w:p>
            <w:pPr>
              <w:pStyle w:val="Normal"/>
              <w:widowControl w:val="false"/>
              <w:spacing w:before="0" w:after="120"/>
              <w:rPr>
                <w:b/>
                <w:bCs/>
                <w:i/>
              </w:rPr>
            </w:pPr>
            <w:r>
              <w:rPr>
                <w:b/>
                <w:bCs/>
                <w:i/>
              </w:rPr>
              <w:t>N° PRIX</w:t>
            </w:r>
          </w:p>
        </w:tc>
        <w:tc>
          <w:tcPr>
            <w:tcW w:w="7812" w:type="dxa"/>
            <w:gridSpan w:val="2"/>
            <w:tcBorders>
              <w:top w:val="single" w:sz="8" w:space="0" w:color="000000"/>
              <w:left w:val="single" w:sz="8" w:space="0" w:color="000000"/>
              <w:bottom w:val="single" w:sz="8" w:space="0" w:color="000000"/>
              <w:right w:val="single" w:sz="8" w:space="0" w:color="000000"/>
            </w:tcBorders>
            <w:shd w:fill="009782" w:val="clear"/>
            <w:vAlign w:val="center"/>
          </w:tcPr>
          <w:p>
            <w:pPr>
              <w:pStyle w:val="Normal"/>
              <w:widowControl w:val="false"/>
              <w:spacing w:before="0" w:after="120"/>
              <w:rPr>
                <w:b/>
                <w:bCs/>
                <w:i/>
              </w:rPr>
            </w:pPr>
            <w:r>
              <w:rPr>
                <w:b/>
                <w:bCs/>
                <w:i/>
              </w:rPr>
              <w:t>DESIGNATION DES OUVRAGES ET PRIX HORS TAXE</w:t>
            </w:r>
          </w:p>
        </w:tc>
      </w:tr>
      <w:tr>
        <w:trPr/>
        <w:tc>
          <w:tcPr>
            <w:tcW w:w="1259" w:type="dxa"/>
            <w:vMerge w:val="restart"/>
            <w:tcBorders>
              <w:top w:val="single" w:sz="8" w:space="0" w:color="000000"/>
              <w:left w:val="single" w:sz="8" w:space="0" w:color="000000"/>
              <w:bottom w:val="single" w:sz="8" w:space="0" w:color="000000"/>
              <w:right w:val="single" w:sz="8" w:space="0" w:color="000000"/>
            </w:tcBorders>
          </w:tcPr>
          <w:p>
            <w:pPr>
              <w:pStyle w:val="Normal"/>
              <w:widowControl w:val="false"/>
              <w:spacing w:before="0" w:after="120"/>
              <w:rPr>
                <w:b/>
                <w:bCs/>
              </w:rPr>
            </w:pPr>
            <w:r>
              <w:rPr>
                <w:b/>
                <w:bCs/>
              </w:rPr>
              <w:t>201</w:t>
            </w:r>
          </w:p>
        </w:tc>
        <w:tc>
          <w:tcPr>
            <w:tcW w:w="7812" w:type="dxa"/>
            <w:gridSpan w:val="2"/>
            <w:tcBorders>
              <w:top w:val="single" w:sz="8" w:space="0" w:color="000000"/>
              <w:left w:val="single" w:sz="8" w:space="0" w:color="000000"/>
              <w:bottom w:val="single" w:sz="8" w:space="0" w:color="000000"/>
              <w:right w:val="single" w:sz="8" w:space="0" w:color="000000"/>
            </w:tcBorders>
            <w:vAlign w:val="center"/>
          </w:tcPr>
          <w:p>
            <w:pPr>
              <w:pStyle w:val="Normal"/>
              <w:widowControl w:val="false"/>
              <w:rPr>
                <w:b/>
                <w:bCs/>
                <w:smallCaps/>
                <w:color w:val="339966"/>
                <w:spacing w:val="-6"/>
                <w:sz w:val="24"/>
                <w:szCs w:val="24"/>
              </w:rPr>
            </w:pPr>
            <w:r>
              <w:rPr>
                <w:b/>
                <w:bCs/>
                <w:smallCaps/>
                <w:color w:val="339966"/>
                <w:spacing w:val="-6"/>
                <w:sz w:val="24"/>
                <w:szCs w:val="24"/>
              </w:rPr>
              <w:t xml:space="preserve">Moyens d'accès </w:t>
            </w:r>
          </w:p>
          <w:p>
            <w:pPr>
              <w:pStyle w:val="Normal"/>
              <w:widowControl w:val="false"/>
              <w:rPr/>
            </w:pPr>
            <w:r>
              <w:rPr/>
              <w:t>Ce prix rémunère, au forfait, l'ensemble des plates-formes de travail, nacelles, étaiements, échafaudages, ou passerelles, moyens et prestations utilisés pour accéder aux zones de travail depuis l’intrados dans les conditions prescrites par le CCTP et ce durant toute la durée des travaux.</w:t>
            </w:r>
          </w:p>
          <w:p>
            <w:pPr>
              <w:pStyle w:val="Normal"/>
              <w:widowControl w:val="false"/>
              <w:rPr/>
            </w:pPr>
            <w:r>
              <w:rPr/>
              <w:t>Ces moyens d’accès couvrent notamment les travaux suivants :</w:t>
            </w:r>
          </w:p>
          <w:p>
            <w:pPr>
              <w:pStyle w:val="ListParagraph"/>
              <w:widowControl w:val="false"/>
              <w:numPr>
                <w:ilvl w:val="0"/>
                <w:numId w:val="14"/>
              </w:numPr>
              <w:rPr/>
            </w:pPr>
            <w:r>
              <w:rPr/>
              <w:t>dépose des verrières inférieures,</w:t>
            </w:r>
          </w:p>
          <w:p>
            <w:pPr>
              <w:pStyle w:val="ListParagraph"/>
              <w:widowControl w:val="false"/>
              <w:numPr>
                <w:ilvl w:val="0"/>
                <w:numId w:val="14"/>
              </w:numPr>
              <w:rPr/>
            </w:pPr>
            <w:r>
              <w:rPr/>
              <w:t>relevé et réparation des bétons fissurés des butons,</w:t>
            </w:r>
          </w:p>
          <w:p>
            <w:pPr>
              <w:pStyle w:val="ListParagraph"/>
              <w:widowControl w:val="false"/>
              <w:numPr>
                <w:ilvl w:val="0"/>
                <w:numId w:val="14"/>
              </w:numPr>
              <w:rPr/>
            </w:pPr>
            <w:r>
              <w:rPr/>
              <w:t>mise en œuvre du système antichute.</w:t>
            </w:r>
          </w:p>
          <w:p>
            <w:pPr>
              <w:pStyle w:val="ListParagraph"/>
              <w:widowControl w:val="false"/>
              <w:rPr/>
            </w:pPr>
            <w:r>
              <w:rPr/>
            </w:r>
          </w:p>
          <w:p>
            <w:pPr>
              <w:pStyle w:val="Normal"/>
              <w:widowControl w:val="false"/>
              <w:rPr/>
            </w:pPr>
            <w:r>
              <w:rPr/>
              <w:t>Il comprend notamment :</w:t>
            </w:r>
          </w:p>
          <w:p>
            <w:pPr>
              <w:pStyle w:val="Normal"/>
              <w:widowControl w:val="false"/>
              <w:numPr>
                <w:ilvl w:val="0"/>
                <w:numId w:val="18"/>
              </w:numPr>
              <w:rPr>
                <w:bCs/>
              </w:rPr>
            </w:pPr>
            <w:r>
              <w:rPr>
                <w:bCs/>
              </w:rPr>
              <w:t>L'amenée et l'ensemble des frais d'utilisation du matériel d'accès et des plateformes de travail, et d'une manière générale tous les moyens et dispositifs à mettre en œuvre pour assurer la sécurité du personnel de l'entreprise et des usagers des voies maintenues en circulation ;</w:t>
            </w:r>
          </w:p>
          <w:p>
            <w:pPr>
              <w:pStyle w:val="Normal"/>
              <w:widowControl w:val="false"/>
              <w:numPr>
                <w:ilvl w:val="0"/>
                <w:numId w:val="18"/>
              </w:numPr>
              <w:rPr>
                <w:bCs/>
              </w:rPr>
            </w:pPr>
            <w:r>
              <w:rPr>
                <w:bCs/>
              </w:rPr>
              <w:t>La mise à disposition ou la fourniture, l'amenée et l'installation complète des moyens d’éclairage de la zone des travaux ;</w:t>
            </w:r>
          </w:p>
          <w:p>
            <w:pPr>
              <w:pStyle w:val="Normal"/>
              <w:widowControl w:val="false"/>
              <w:numPr>
                <w:ilvl w:val="0"/>
                <w:numId w:val="18"/>
              </w:numPr>
              <w:rPr>
                <w:bCs/>
              </w:rPr>
            </w:pPr>
            <w:r>
              <w:rPr>
                <w:bCs/>
              </w:rPr>
              <w:t>Le confinement des plates-formes, nacelles et passerelles pour la purge des verrières, destiné à protéger l’environnement et les usagers de toute projection et salissures lors des travaux ;</w:t>
            </w:r>
          </w:p>
          <w:p>
            <w:pPr>
              <w:pStyle w:val="Normal"/>
              <w:widowControl w:val="false"/>
              <w:numPr>
                <w:ilvl w:val="0"/>
                <w:numId w:val="18"/>
              </w:numPr>
              <w:rPr>
                <w:bCs/>
              </w:rPr>
            </w:pPr>
            <w:r>
              <w:rPr>
                <w:bCs/>
              </w:rPr>
              <w:t>L’amenée, les montages et démontages, afin d’assurer l’accès aux verrières par le personnel en sécurité y compris moyens d’accès mis en place et utilisés de nuit, pour la réalisation des travaux ;</w:t>
            </w:r>
          </w:p>
          <w:p>
            <w:pPr>
              <w:pStyle w:val="Normal"/>
              <w:widowControl w:val="false"/>
              <w:numPr>
                <w:ilvl w:val="0"/>
                <w:numId w:val="18"/>
              </w:numPr>
              <w:rPr>
                <w:bCs/>
              </w:rPr>
            </w:pPr>
            <w:r>
              <w:rPr>
                <w:bCs/>
              </w:rPr>
              <w:t>Plus-value pour l’exécution des travaux les week-ends et de nuit.</w:t>
            </w:r>
          </w:p>
          <w:p>
            <w:pPr>
              <w:pStyle w:val="Normal"/>
              <w:widowControl w:val="false"/>
              <w:numPr>
                <w:ilvl w:val="0"/>
                <w:numId w:val="18"/>
              </w:numPr>
              <w:rPr/>
            </w:pPr>
            <w:bookmarkStart w:id="18" w:name="_Hlk201594850"/>
            <w:r>
              <w:rPr>
                <w:bCs/>
              </w:rPr>
              <w:t>La mise à disposition de ces moyens pour les besoins du Maître d’œuvre afin de lui permettre de réceptionner les travaux réalisés </w:t>
            </w:r>
            <w:bookmarkEnd w:id="18"/>
            <w:r>
              <w:rPr>
                <w:bCs/>
              </w:rPr>
              <w:t>;</w:t>
            </w:r>
          </w:p>
          <w:p>
            <w:pPr>
              <w:pStyle w:val="Normal"/>
              <w:widowControl w:val="false"/>
              <w:numPr>
                <w:ilvl w:val="0"/>
                <w:numId w:val="18"/>
              </w:numPr>
              <w:rPr>
                <w:bCs/>
              </w:rPr>
            </w:pPr>
            <w:r>
              <w:rPr>
                <w:bCs/>
              </w:rPr>
              <w:t>Les frais de réception par un organisme de contrôle agréé par le Maître d'œuvre ;</w:t>
            </w:r>
          </w:p>
          <w:p>
            <w:pPr>
              <w:pStyle w:val="Normal"/>
              <w:widowControl w:val="false"/>
              <w:numPr>
                <w:ilvl w:val="0"/>
                <w:numId w:val="18"/>
              </w:numPr>
              <w:rPr>
                <w:bCs/>
              </w:rPr>
            </w:pPr>
            <w:r>
              <w:rPr>
                <w:bCs/>
              </w:rPr>
              <w:t>Toutes sujétions liées aux fractionnements des travaux en plusieurs phases d’interruption de l’autoroute A20, et notamment les amenées-replis entre week-ends de travaux ;</w:t>
            </w:r>
          </w:p>
          <w:p>
            <w:pPr>
              <w:pStyle w:val="Normal"/>
              <w:widowControl w:val="false"/>
              <w:numPr>
                <w:ilvl w:val="0"/>
                <w:numId w:val="18"/>
              </w:numPr>
              <w:rPr>
                <w:bCs/>
              </w:rPr>
            </w:pPr>
            <w:r>
              <w:rPr>
                <w:bCs/>
              </w:rPr>
              <w:t>Le repli à la fin des travaux.</w:t>
            </w:r>
          </w:p>
          <w:p>
            <w:pPr>
              <w:pStyle w:val="Normal"/>
              <w:widowControl w:val="false"/>
              <w:ind w:hanging="0" w:left="720" w:right="0"/>
              <w:rPr>
                <w:bCs/>
              </w:rPr>
            </w:pPr>
            <w:r>
              <w:rPr>
                <w:bCs/>
              </w:rPr>
            </w:r>
          </w:p>
          <w:p>
            <w:pPr>
              <w:pStyle w:val="Normal"/>
              <w:widowControl w:val="false"/>
              <w:rPr/>
            </w:pPr>
            <w:r>
              <w:rPr/>
              <w:t>Ce prix est scindé en deux fractions :</w:t>
            </w:r>
          </w:p>
          <w:p>
            <w:pPr>
              <w:pStyle w:val="Normal"/>
              <w:widowControl w:val="false"/>
              <w:numPr>
                <w:ilvl w:val="0"/>
                <w:numId w:val="18"/>
              </w:numPr>
              <w:overflowPunct w:val="false"/>
              <w:spacing w:before="120" w:after="120"/>
              <w:textAlignment w:val="baseline"/>
              <w:rPr/>
            </w:pPr>
            <w:r>
              <w:rPr/>
              <w:t>50 % après la première amenée lors des interventions en intrados,</w:t>
            </w:r>
          </w:p>
          <w:p>
            <w:pPr>
              <w:pStyle w:val="ListParagraph"/>
              <w:widowControl w:val="false"/>
              <w:numPr>
                <w:ilvl w:val="0"/>
                <w:numId w:val="18"/>
              </w:numPr>
              <w:rPr/>
            </w:pPr>
            <w:r>
              <w:rPr/>
              <w:t xml:space="preserve">50 % </w:t>
            </w:r>
            <w:r>
              <w:rPr>
                <w:szCs w:val="22"/>
              </w:rPr>
              <w:t>après repli définitif à l’issue des travaux de mise en œuvre du système antichute.</w:t>
            </w:r>
          </w:p>
          <w:p>
            <w:pPr>
              <w:pStyle w:val="Normal"/>
              <w:widowControl w:val="false"/>
              <w:spacing w:before="0" w:after="120"/>
              <w:rPr/>
            </w:pPr>
            <w:r>
              <w:rPr/>
            </w:r>
          </w:p>
        </w:tc>
      </w:tr>
      <w:tr>
        <w:trPr>
          <w:trHeight w:val="1098" w:hRule="atLeast"/>
        </w:trPr>
        <w:tc>
          <w:tcPr>
            <w:tcW w:w="1259" w:type="dxa"/>
            <w:vMerge w:val="continue"/>
            <w:tcBorders>
              <w:top w:val="single" w:sz="8" w:space="0" w:color="000000"/>
              <w:left w:val="single" w:sz="8" w:space="0" w:color="000000"/>
              <w:bottom w:val="single" w:sz="8" w:space="0" w:color="000000"/>
              <w:right w:val="single" w:sz="8" w:space="0" w:color="000000"/>
            </w:tcBorders>
            <w:vAlign w:val="center"/>
          </w:tcPr>
          <w:p>
            <w:pPr>
              <w:pStyle w:val="Normal"/>
              <w:widowControl/>
              <w:suppressAutoHyphens w:val="true"/>
              <w:bidi w:val="0"/>
              <w:spacing w:before="0" w:after="120"/>
              <w:jc w:val="both"/>
              <w:rPr/>
            </w:pPr>
            <w:r>
              <w:rPr/>
            </w:r>
          </w:p>
        </w:tc>
        <w:tc>
          <w:tcPr>
            <w:tcW w:w="5221" w:type="dxa"/>
            <w:tcBorders>
              <w:top w:val="single" w:sz="8" w:space="0" w:color="000000"/>
              <w:left w:val="single" w:sz="8" w:space="0" w:color="000000"/>
              <w:bottom w:val="single" w:sz="8" w:space="0" w:color="000000"/>
              <w:right w:val="single" w:sz="8" w:space="0" w:color="000000"/>
            </w:tcBorders>
          </w:tcPr>
          <w:p>
            <w:pPr>
              <w:pStyle w:val="Normal"/>
              <w:widowControl w:val="false"/>
              <w:rPr>
                <w:b/>
                <w:bCs/>
              </w:rPr>
            </w:pPr>
            <w:r>
              <w:rPr>
                <w:b/>
                <w:bCs/>
              </w:rPr>
              <w:t>Le forfait (en lettres)</w:t>
            </w:r>
          </w:p>
          <w:p>
            <w:pPr>
              <w:pStyle w:val="Normal"/>
              <w:widowControl w:val="false"/>
              <w:spacing w:before="0" w:after="120"/>
              <w:rPr/>
            </w:pPr>
            <w:r>
              <w:rPr/>
            </w:r>
          </w:p>
        </w:tc>
        <w:tc>
          <w:tcPr>
            <w:tcW w:w="2591" w:type="dxa"/>
            <w:tcBorders>
              <w:top w:val="single" w:sz="8" w:space="0" w:color="000000"/>
              <w:left w:val="single" w:sz="8" w:space="0" w:color="000000"/>
              <w:bottom w:val="single" w:sz="8" w:space="0" w:color="000000"/>
              <w:right w:val="single" w:sz="8" w:space="0" w:color="000000"/>
            </w:tcBorders>
          </w:tcPr>
          <w:p>
            <w:pPr>
              <w:pStyle w:val="Normal"/>
              <w:widowControl w:val="false"/>
              <w:rPr>
                <w:b/>
                <w:bCs/>
              </w:rPr>
            </w:pPr>
            <w:r>
              <w:rPr>
                <w:b/>
                <w:bCs/>
              </w:rPr>
              <w:t>Le forfait (en chiffres)</w:t>
            </w:r>
          </w:p>
          <w:p>
            <w:pPr>
              <w:pStyle w:val="Normal"/>
              <w:widowControl w:val="false"/>
              <w:spacing w:before="0" w:after="120"/>
              <w:rPr/>
            </w:pPr>
            <w:r>
              <w:rPr/>
            </w:r>
          </w:p>
        </w:tc>
      </w:tr>
    </w:tbl>
    <w:p>
      <w:pPr>
        <w:sectPr>
          <w:headerReference w:type="default" r:id="rId6"/>
          <w:headerReference w:type="first" r:id="rId7"/>
          <w:footerReference w:type="default" r:id="rId8"/>
          <w:footerReference w:type="first" r:id="rId9"/>
          <w:type w:val="nextPage"/>
          <w:pgSz w:w="11906" w:h="16838"/>
          <w:pgMar w:left="1417" w:right="1417" w:gutter="0" w:header="708" w:top="1985" w:footer="292" w:bottom="1560"/>
          <w:pgNumType w:fmt="decimal"/>
          <w:formProt w:val="false"/>
          <w:textDirection w:val="lrTb"/>
          <w:docGrid w:type="default" w:linePitch="360" w:charSpace="16384"/>
        </w:sectPr>
      </w:pPr>
    </w:p>
    <w:tbl>
      <w:tblPr>
        <w:tblW w:w="9071" w:type="dxa"/>
        <w:jc w:val="left"/>
        <w:tblInd w:w="108" w:type="dxa"/>
        <w:tblLayout w:type="fixed"/>
        <w:tblCellMar>
          <w:top w:w="0" w:type="dxa"/>
          <w:left w:w="108" w:type="dxa"/>
          <w:bottom w:w="0" w:type="dxa"/>
          <w:right w:w="108" w:type="dxa"/>
        </w:tblCellMar>
      </w:tblPr>
      <w:tblGrid>
        <w:gridCol w:w="1259"/>
        <w:gridCol w:w="5221"/>
        <w:gridCol w:w="2591"/>
      </w:tblGrid>
      <w:tr>
        <w:trPr/>
        <w:tc>
          <w:tcPr>
            <w:tcW w:w="1259" w:type="dxa"/>
            <w:tcBorders>
              <w:top w:val="single" w:sz="8" w:space="0" w:color="000000"/>
              <w:left w:val="single" w:sz="8" w:space="0" w:color="000000"/>
              <w:bottom w:val="single" w:sz="8" w:space="0" w:color="000000"/>
              <w:right w:val="single" w:sz="8" w:space="0" w:color="000000"/>
            </w:tcBorders>
            <w:shd w:fill="009782" w:val="clear"/>
          </w:tcPr>
          <w:p>
            <w:pPr>
              <w:pStyle w:val="Normal"/>
              <w:widowControl w:val="false"/>
              <w:spacing w:before="0" w:after="0"/>
              <w:jc w:val="left"/>
              <w:rPr>
                <w:b/>
                <w:bCs/>
                <w:i/>
              </w:rPr>
            </w:pPr>
            <w:r>
              <w:rPr>
                <w:b/>
                <w:bCs/>
                <w:i/>
              </w:rPr>
              <w:t>N° PRIX</w:t>
            </w:r>
          </w:p>
        </w:tc>
        <w:tc>
          <w:tcPr>
            <w:tcW w:w="7812" w:type="dxa"/>
            <w:gridSpan w:val="2"/>
            <w:tcBorders>
              <w:top w:val="single" w:sz="8" w:space="0" w:color="000000"/>
              <w:left w:val="single" w:sz="8" w:space="0" w:color="000000"/>
              <w:bottom w:val="single" w:sz="8" w:space="0" w:color="000000"/>
              <w:right w:val="single" w:sz="8" w:space="0" w:color="000000"/>
            </w:tcBorders>
            <w:shd w:fill="009782" w:val="clear"/>
            <w:vAlign w:val="center"/>
          </w:tcPr>
          <w:p>
            <w:pPr>
              <w:pStyle w:val="Normal"/>
              <w:widowControl w:val="false"/>
              <w:spacing w:before="0" w:after="0"/>
              <w:jc w:val="left"/>
              <w:rPr>
                <w:b/>
                <w:bCs/>
                <w:i/>
              </w:rPr>
            </w:pPr>
            <w:r>
              <w:rPr>
                <w:b/>
                <w:bCs/>
                <w:i/>
              </w:rPr>
              <w:t>DESIGNATION DES OUVRAGES ET PRIX HORS TAXE</w:t>
            </w:r>
          </w:p>
        </w:tc>
      </w:tr>
      <w:tr>
        <w:trPr/>
        <w:tc>
          <w:tcPr>
            <w:tcW w:w="1259" w:type="dxa"/>
            <w:vMerge w:val="restart"/>
            <w:tcBorders>
              <w:top w:val="single" w:sz="8" w:space="0" w:color="000000"/>
              <w:left w:val="single" w:sz="8" w:space="0" w:color="000000"/>
              <w:bottom w:val="single" w:sz="8" w:space="0" w:color="000000"/>
              <w:right w:val="single" w:sz="8" w:space="0" w:color="000000"/>
            </w:tcBorders>
          </w:tcPr>
          <w:p>
            <w:pPr>
              <w:pStyle w:val="Normal"/>
              <w:widowControl w:val="false"/>
              <w:spacing w:before="0" w:after="0"/>
              <w:jc w:val="left"/>
              <w:rPr>
                <w:b/>
                <w:bCs/>
              </w:rPr>
            </w:pPr>
            <w:r>
              <w:rPr>
                <w:b/>
                <w:bCs/>
              </w:rPr>
              <w:t>202</w:t>
            </w:r>
          </w:p>
        </w:tc>
        <w:tc>
          <w:tcPr>
            <w:tcW w:w="7812" w:type="dxa"/>
            <w:gridSpan w:val="2"/>
            <w:tcBorders>
              <w:top w:val="single" w:sz="8" w:space="0" w:color="000000"/>
              <w:left w:val="single" w:sz="8" w:space="0" w:color="000000"/>
              <w:bottom w:val="single" w:sz="8" w:space="0" w:color="000000"/>
              <w:right w:val="single" w:sz="8" w:space="0" w:color="000000"/>
            </w:tcBorders>
            <w:vAlign w:val="center"/>
          </w:tcPr>
          <w:p>
            <w:pPr>
              <w:pStyle w:val="Normal"/>
              <w:widowControl w:val="false"/>
              <w:spacing w:before="0" w:after="0"/>
              <w:jc w:val="left"/>
              <w:rPr>
                <w:b/>
                <w:bCs/>
                <w:smallCaps/>
                <w:color w:val="339966"/>
                <w:spacing w:val="-6"/>
                <w:sz w:val="24"/>
                <w:szCs w:val="24"/>
              </w:rPr>
            </w:pPr>
            <w:r>
              <w:rPr>
                <w:b/>
                <w:bCs/>
                <w:smallCaps/>
                <w:color w:val="339966"/>
                <w:spacing w:val="-6"/>
                <w:sz w:val="24"/>
                <w:szCs w:val="24"/>
              </w:rPr>
              <w:t>Fourniture et mise en place d’un écran antiprojection (&gt;2m de haut)</w:t>
            </w:r>
          </w:p>
          <w:p>
            <w:pPr>
              <w:pStyle w:val="Normal"/>
              <w:widowControl w:val="false"/>
              <w:spacing w:before="0" w:after="0"/>
              <w:jc w:val="left"/>
              <w:rPr>
                <w:b/>
                <w:bCs/>
              </w:rPr>
            </w:pPr>
            <w:r>
              <w:rPr>
                <w:b/>
                <w:bCs/>
              </w:rPr>
            </w:r>
          </w:p>
          <w:p>
            <w:pPr>
              <w:pStyle w:val="Normal"/>
              <w:widowControl w:val="false"/>
              <w:spacing w:before="0" w:after="0"/>
              <w:jc w:val="left"/>
              <w:rPr/>
            </w:pPr>
            <w:r>
              <w:rPr/>
              <w:t>Ce prix rémunère, au mètre carré, la fourniture et l’installation d’un écran antiprojection pleine hauteur sous poutre hauteur, déployé sur l’intégralité du linéaire de l’A20 intéressé par les travaux de purge des verrières.</w:t>
            </w:r>
          </w:p>
          <w:p>
            <w:pPr>
              <w:pStyle w:val="Normal"/>
              <w:widowControl w:val="false"/>
              <w:spacing w:before="0" w:after="0"/>
              <w:jc w:val="left"/>
              <w:rPr/>
            </w:pPr>
            <w:r>
              <w:rPr/>
            </w:r>
          </w:p>
          <w:p>
            <w:pPr>
              <w:pStyle w:val="Normal"/>
              <w:widowControl w:val="false"/>
              <w:spacing w:before="0" w:after="0"/>
              <w:jc w:val="left"/>
              <w:rPr/>
            </w:pPr>
            <w:r>
              <w:rPr/>
            </w:r>
          </w:p>
          <w:p>
            <w:pPr>
              <w:pStyle w:val="Normal"/>
              <w:widowControl w:val="false"/>
              <w:spacing w:before="0" w:after="0"/>
              <w:jc w:val="left"/>
              <w:rPr/>
            </w:pPr>
            <w:r>
              <w:rPr/>
              <w:t>Le dispositif a pour objet d’assurer la protection des voies de l’A20 maintenues en circulation lors des interventions réalisées depuis l’intrados.</w:t>
            </w:r>
          </w:p>
          <w:p>
            <w:pPr>
              <w:pStyle w:val="Normal"/>
              <w:widowControl w:val="false"/>
              <w:spacing w:before="0" w:after="0"/>
              <w:jc w:val="left"/>
              <w:rPr/>
            </w:pPr>
            <w:r>
              <w:rPr/>
            </w:r>
          </w:p>
          <w:p>
            <w:pPr>
              <w:pStyle w:val="Normal"/>
              <w:widowControl w:val="false"/>
              <w:spacing w:before="0" w:after="0"/>
              <w:jc w:val="left"/>
              <w:rPr/>
            </w:pPr>
            <w:r>
              <w:rPr/>
              <w:t>Il comprend notamment :</w:t>
            </w:r>
          </w:p>
          <w:p>
            <w:pPr>
              <w:pStyle w:val="Normal"/>
              <w:widowControl w:val="false"/>
              <w:numPr>
                <w:ilvl w:val="0"/>
                <w:numId w:val="17"/>
              </w:numPr>
              <w:rPr>
                <w:bCs/>
              </w:rPr>
            </w:pPr>
            <w:r>
              <w:rPr>
                <w:bCs/>
              </w:rPr>
              <w:t>La mise à disposition ou la fourniture, l'amenée et l'installation complète des matériels et du personnel nécessaires à cette opération ;</w:t>
            </w:r>
          </w:p>
          <w:p>
            <w:pPr>
              <w:pStyle w:val="Normal"/>
              <w:widowControl w:val="false"/>
              <w:numPr>
                <w:ilvl w:val="0"/>
                <w:numId w:val="17"/>
              </w:numPr>
              <w:rPr>
                <w:bCs/>
              </w:rPr>
            </w:pPr>
            <w:r>
              <w:rPr>
                <w:bCs/>
              </w:rPr>
              <w:t>La fourniture des filets haute résistance ou autre dispositif équivalent validé par le MOE ;</w:t>
            </w:r>
          </w:p>
          <w:p>
            <w:pPr>
              <w:pStyle w:val="Normal"/>
              <w:widowControl w:val="false"/>
              <w:numPr>
                <w:ilvl w:val="0"/>
                <w:numId w:val="17"/>
              </w:numPr>
              <w:rPr>
                <w:bCs/>
              </w:rPr>
            </w:pPr>
            <w:r>
              <w:rPr>
                <w:bCs/>
              </w:rPr>
              <w:t>La délimitation de la zone de travail ;</w:t>
            </w:r>
          </w:p>
          <w:p>
            <w:pPr>
              <w:pStyle w:val="Normal"/>
              <w:widowControl w:val="false"/>
              <w:numPr>
                <w:ilvl w:val="0"/>
                <w:numId w:val="17"/>
              </w:numPr>
              <w:rPr>
                <w:bCs/>
              </w:rPr>
            </w:pPr>
            <w:r>
              <w:rPr>
                <w:bCs/>
              </w:rPr>
              <w:t>La fourniture et la mise en place des supports et dispositifs d’ancrage nécessaires ;</w:t>
            </w:r>
          </w:p>
          <w:p>
            <w:pPr>
              <w:pStyle w:val="Normal"/>
              <w:widowControl w:val="false"/>
              <w:numPr>
                <w:ilvl w:val="0"/>
                <w:numId w:val="17"/>
              </w:numPr>
              <w:rPr>
                <w:bCs/>
              </w:rPr>
            </w:pPr>
            <w:r>
              <w:rPr>
                <w:bCs/>
              </w:rPr>
              <w:t>La fixation des écrans sur une structure adaptée garantissant leur tenue mécanique ;</w:t>
            </w:r>
          </w:p>
          <w:p>
            <w:pPr>
              <w:pStyle w:val="Normal"/>
              <w:widowControl w:val="false"/>
              <w:numPr>
                <w:ilvl w:val="0"/>
                <w:numId w:val="17"/>
              </w:numPr>
              <w:rPr>
                <w:bCs/>
              </w:rPr>
            </w:pPr>
            <w:r>
              <w:rPr>
                <w:bCs/>
              </w:rPr>
              <w:t>Vérification de la stabilité face au vent, aux vibrations et à la projection des d’objets ;</w:t>
            </w:r>
          </w:p>
          <w:p>
            <w:pPr>
              <w:pStyle w:val="Normal"/>
              <w:widowControl w:val="false"/>
              <w:numPr>
                <w:ilvl w:val="0"/>
                <w:numId w:val="17"/>
              </w:numPr>
              <w:rPr>
                <w:bCs/>
              </w:rPr>
            </w:pPr>
            <w:r>
              <w:rPr>
                <w:bCs/>
              </w:rPr>
              <w:t>Les reprises, ajustements et refixations autant de fois que nécessaire pendant la durée des travaux ;</w:t>
            </w:r>
          </w:p>
          <w:p>
            <w:pPr>
              <w:pStyle w:val="Normal"/>
              <w:widowControl w:val="false"/>
              <w:numPr>
                <w:ilvl w:val="0"/>
                <w:numId w:val="17"/>
              </w:numPr>
              <w:rPr>
                <w:bCs/>
              </w:rPr>
            </w:pPr>
            <w:r>
              <w:rPr>
                <w:bCs/>
              </w:rPr>
              <w:t>La plus-value pour l’exécution des travaux les week-ends et de nuit ;</w:t>
            </w:r>
          </w:p>
          <w:p>
            <w:pPr>
              <w:pStyle w:val="Normal"/>
              <w:widowControl w:val="false"/>
              <w:numPr>
                <w:ilvl w:val="0"/>
                <w:numId w:val="17"/>
              </w:numPr>
              <w:rPr>
                <w:bCs/>
              </w:rPr>
            </w:pPr>
            <w:r>
              <w:rPr>
                <w:bCs/>
              </w:rPr>
              <w:t>La dépose complète du dispositif à l’issue des travaux en intrados ;</w:t>
            </w:r>
          </w:p>
          <w:p>
            <w:pPr>
              <w:pStyle w:val="Normal"/>
              <w:widowControl w:val="false"/>
              <w:numPr>
                <w:ilvl w:val="0"/>
                <w:numId w:val="17"/>
              </w:numPr>
              <w:rPr>
                <w:bCs/>
              </w:rPr>
            </w:pPr>
            <w:r>
              <w:rPr>
                <w:bCs/>
              </w:rPr>
              <w:t>Toutes sujétions liées à une exécution fractionnée ou réalisée sous contraintes d’exploitation autoroutière ;</w:t>
            </w:r>
          </w:p>
          <w:p>
            <w:pPr>
              <w:pStyle w:val="Normal"/>
              <w:widowControl w:val="false"/>
              <w:numPr>
                <w:ilvl w:val="0"/>
                <w:numId w:val="17"/>
              </w:numPr>
              <w:rPr>
                <w:bCs/>
              </w:rPr>
            </w:pPr>
            <w:r>
              <w:rPr>
                <w:bCs/>
              </w:rPr>
              <w:t>Le nettoyage des abords et la remise en état des lieux.</w:t>
            </w:r>
          </w:p>
          <w:p>
            <w:pPr>
              <w:pStyle w:val="ListParagraph"/>
              <w:widowControl w:val="false"/>
              <w:spacing w:before="0" w:after="0"/>
              <w:ind w:hanging="0" w:left="720" w:right="0"/>
              <w:jc w:val="left"/>
              <w:rPr/>
            </w:pPr>
            <w:r>
              <w:rPr/>
            </w:r>
          </w:p>
          <w:p>
            <w:pPr>
              <w:pStyle w:val="Normal"/>
              <w:widowControl w:val="false"/>
              <w:rPr/>
            </w:pPr>
            <w:r>
              <w:rPr/>
              <w:t>Ce prix est scindé en deux fractions :</w:t>
            </w:r>
          </w:p>
          <w:p>
            <w:pPr>
              <w:pStyle w:val="Normal"/>
              <w:widowControl w:val="false"/>
              <w:numPr>
                <w:ilvl w:val="0"/>
                <w:numId w:val="16"/>
              </w:numPr>
              <w:overflowPunct w:val="false"/>
              <w:spacing w:before="120" w:after="120"/>
              <w:textAlignment w:val="baseline"/>
              <w:rPr/>
            </w:pPr>
            <w:r>
              <w:rPr/>
              <w:t>60 % après la réception de l’installation du dispositif antiprojection par le maitre d’œuvre,</w:t>
            </w:r>
          </w:p>
          <w:p>
            <w:pPr>
              <w:pStyle w:val="ListParagraph"/>
              <w:widowControl w:val="false"/>
              <w:numPr>
                <w:ilvl w:val="0"/>
                <w:numId w:val="16"/>
              </w:numPr>
              <w:spacing w:before="0" w:after="0"/>
              <w:jc w:val="left"/>
              <w:rPr/>
            </w:pPr>
            <w:r>
              <w:rPr/>
              <w:t xml:space="preserve">40 % </w:t>
            </w:r>
            <w:r>
              <w:rPr>
                <w:szCs w:val="22"/>
              </w:rPr>
              <w:t>après dépose complète du dispositif à l’issue des travaux réalisés depuis l’intrados.</w:t>
            </w:r>
          </w:p>
        </w:tc>
      </w:tr>
      <w:tr>
        <w:trPr>
          <w:trHeight w:val="1304" w:hRule="atLeast"/>
        </w:trPr>
        <w:tc>
          <w:tcPr>
            <w:tcW w:w="1259" w:type="dxa"/>
            <w:vMerge w:val="continue"/>
            <w:tcBorders>
              <w:top w:val="single" w:sz="8" w:space="0" w:color="000000"/>
              <w:left w:val="single" w:sz="8" w:space="0" w:color="000000"/>
              <w:bottom w:val="single" w:sz="8" w:space="0" w:color="000000"/>
              <w:right w:val="single" w:sz="8" w:space="0" w:color="000000"/>
            </w:tcBorders>
            <w:vAlign w:val="center"/>
          </w:tcPr>
          <w:p>
            <w:pPr>
              <w:pStyle w:val="Normal"/>
              <w:widowControl/>
              <w:suppressAutoHyphens w:val="true"/>
              <w:bidi w:val="0"/>
              <w:spacing w:before="0" w:after="120"/>
              <w:jc w:val="both"/>
              <w:rPr/>
            </w:pPr>
            <w:r>
              <w:rPr/>
            </w:r>
          </w:p>
        </w:tc>
        <w:tc>
          <w:tcPr>
            <w:tcW w:w="5221" w:type="dxa"/>
            <w:tcBorders>
              <w:top w:val="single" w:sz="8" w:space="0" w:color="000000"/>
              <w:left w:val="single" w:sz="8" w:space="0" w:color="000000"/>
              <w:bottom w:val="single" w:sz="8" w:space="0" w:color="000000"/>
              <w:right w:val="single" w:sz="8" w:space="0" w:color="000000"/>
            </w:tcBorders>
          </w:tcPr>
          <w:p>
            <w:pPr>
              <w:pStyle w:val="Normal"/>
              <w:widowControl w:val="false"/>
              <w:spacing w:before="0" w:after="0"/>
              <w:jc w:val="left"/>
              <w:rPr>
                <w:b/>
                <w:bCs/>
              </w:rPr>
            </w:pPr>
            <w:r>
              <w:rPr>
                <w:b/>
                <w:bCs/>
              </w:rPr>
              <w:t>Le mètre carré (en lettres)</w:t>
            </w:r>
          </w:p>
          <w:p>
            <w:pPr>
              <w:pStyle w:val="Normal"/>
              <w:widowControl w:val="false"/>
              <w:spacing w:before="0" w:after="0"/>
              <w:jc w:val="left"/>
              <w:rPr/>
            </w:pPr>
            <w:r>
              <w:rPr/>
            </w:r>
          </w:p>
        </w:tc>
        <w:tc>
          <w:tcPr>
            <w:tcW w:w="2591" w:type="dxa"/>
            <w:tcBorders>
              <w:top w:val="single" w:sz="8" w:space="0" w:color="000000"/>
              <w:left w:val="single" w:sz="8" w:space="0" w:color="000000"/>
              <w:bottom w:val="single" w:sz="8" w:space="0" w:color="000000"/>
              <w:right w:val="single" w:sz="8" w:space="0" w:color="000000"/>
            </w:tcBorders>
          </w:tcPr>
          <w:p>
            <w:pPr>
              <w:pStyle w:val="Normal"/>
              <w:widowControl w:val="false"/>
              <w:spacing w:before="0" w:after="0"/>
              <w:jc w:val="left"/>
              <w:rPr>
                <w:b/>
                <w:bCs/>
              </w:rPr>
            </w:pPr>
            <w:r>
              <w:rPr>
                <w:b/>
                <w:bCs/>
              </w:rPr>
              <w:t>Le mètre carré (en chiffres)</w:t>
            </w:r>
          </w:p>
          <w:p>
            <w:pPr>
              <w:pStyle w:val="Normal"/>
              <w:widowControl w:val="false"/>
              <w:spacing w:before="0" w:after="0"/>
              <w:jc w:val="left"/>
              <w:rPr/>
            </w:pPr>
            <w:r>
              <w:rPr/>
            </w:r>
          </w:p>
        </w:tc>
      </w:tr>
    </w:tbl>
    <w:p>
      <w:pPr>
        <w:pStyle w:val="Normal"/>
        <w:spacing w:before="0" w:after="0"/>
        <w:jc w:val="left"/>
        <w:rPr/>
      </w:pPr>
      <w:r>
        <w:rPr/>
      </w:r>
    </w:p>
    <w:p>
      <w:pPr>
        <w:pStyle w:val="Normal"/>
        <w:spacing w:before="0" w:after="0"/>
        <w:jc w:val="left"/>
        <w:rPr/>
      </w:pPr>
      <w:r>
        <w:rPr/>
      </w:r>
    </w:p>
    <w:p>
      <w:pPr>
        <w:pStyle w:val="Normal"/>
        <w:spacing w:before="0" w:after="0"/>
        <w:jc w:val="left"/>
        <w:rPr/>
        <w:sectPr>
          <w:headerReference w:type="default" r:id="rId10"/>
          <w:headerReference w:type="first" r:id="rId11"/>
          <w:footerReference w:type="default" r:id="rId12"/>
          <w:footerReference w:type="first" r:id="rId13"/>
          <w:type w:val="nextPage"/>
          <w:pgSz w:w="11906" w:h="16838"/>
          <w:pgMar w:left="1417" w:right="1417" w:gutter="0" w:header="708" w:top="1985" w:footer="292" w:bottom="1560"/>
          <w:pgNumType w:fmt="decimal"/>
          <w:formProt w:val="false"/>
          <w:textDirection w:val="lrTb"/>
          <w:docGrid w:type="default" w:linePitch="360" w:charSpace="16384"/>
        </w:sectPr>
      </w:pPr>
      <w:r>
        <w:rPr/>
      </w:r>
    </w:p>
    <w:p>
      <w:pPr>
        <w:pStyle w:val="Normal"/>
        <w:spacing w:before="0" w:after="0"/>
        <w:jc w:val="left"/>
        <w:rPr/>
      </w:pPr>
      <w:r>
        <w:rPr/>
      </w:r>
    </w:p>
    <w:tbl>
      <w:tblPr>
        <w:tblW w:w="9071" w:type="dxa"/>
        <w:jc w:val="left"/>
        <w:tblInd w:w="108" w:type="dxa"/>
        <w:tblLayout w:type="fixed"/>
        <w:tblCellMar>
          <w:top w:w="0" w:type="dxa"/>
          <w:left w:w="108" w:type="dxa"/>
          <w:bottom w:w="0" w:type="dxa"/>
          <w:right w:w="108" w:type="dxa"/>
        </w:tblCellMar>
      </w:tblPr>
      <w:tblGrid>
        <w:gridCol w:w="1259"/>
        <w:gridCol w:w="5221"/>
        <w:gridCol w:w="2591"/>
      </w:tblGrid>
      <w:tr>
        <w:trPr/>
        <w:tc>
          <w:tcPr>
            <w:tcW w:w="1259" w:type="dxa"/>
            <w:tcBorders>
              <w:top w:val="single" w:sz="8" w:space="0" w:color="000000"/>
              <w:left w:val="single" w:sz="8" w:space="0" w:color="000000"/>
              <w:bottom w:val="single" w:sz="8" w:space="0" w:color="000000"/>
              <w:right w:val="single" w:sz="8" w:space="0" w:color="000000"/>
            </w:tcBorders>
            <w:shd w:fill="009782" w:val="clear"/>
          </w:tcPr>
          <w:p>
            <w:pPr>
              <w:pStyle w:val="Normal"/>
              <w:widowControl w:val="false"/>
              <w:tabs>
                <w:tab w:val="clear" w:pos="708"/>
                <w:tab w:val="center" w:pos="4536" w:leader="none"/>
                <w:tab w:val="right" w:pos="9072" w:leader="none"/>
              </w:tabs>
              <w:spacing w:before="120" w:after="120"/>
              <w:jc w:val="center"/>
              <w:rPr>
                <w:b/>
                <w:bCs/>
                <w:i/>
                <w:color w:val="FFFFFF"/>
              </w:rPr>
            </w:pPr>
            <w:r>
              <w:rPr>
                <w:b/>
                <w:bCs/>
                <w:i/>
                <w:color w:val="FFFFFF"/>
              </w:rPr>
              <w:t>N° PRIX</w:t>
            </w:r>
          </w:p>
        </w:tc>
        <w:tc>
          <w:tcPr>
            <w:tcW w:w="7812" w:type="dxa"/>
            <w:gridSpan w:val="2"/>
            <w:tcBorders>
              <w:top w:val="single" w:sz="8" w:space="0" w:color="000000"/>
              <w:left w:val="single" w:sz="8" w:space="0" w:color="000000"/>
              <w:bottom w:val="single" w:sz="8" w:space="0" w:color="000000"/>
              <w:right w:val="single" w:sz="8" w:space="0" w:color="000000"/>
            </w:tcBorders>
            <w:shd w:fill="009782" w:val="clear"/>
            <w:vAlign w:val="center"/>
          </w:tcPr>
          <w:p>
            <w:pPr>
              <w:pStyle w:val="Normal"/>
              <w:widowControl w:val="false"/>
              <w:tabs>
                <w:tab w:val="clear" w:pos="708"/>
                <w:tab w:val="center" w:pos="4536" w:leader="none"/>
                <w:tab w:val="right" w:pos="9072" w:leader="none"/>
              </w:tabs>
              <w:spacing w:before="120" w:after="120"/>
              <w:jc w:val="center"/>
              <w:rPr>
                <w:b/>
                <w:bCs/>
                <w:i/>
                <w:color w:val="FFFFFF"/>
              </w:rPr>
            </w:pPr>
            <w:r>
              <w:rPr>
                <w:b/>
                <w:bCs/>
                <w:i/>
                <w:color w:val="FFFFFF"/>
              </w:rPr>
              <w:t>DESIGNATION DES OUVRAGES ET PRIX HORS TAXE</w:t>
            </w:r>
          </w:p>
        </w:tc>
      </w:tr>
      <w:tr>
        <w:trPr/>
        <w:tc>
          <w:tcPr>
            <w:tcW w:w="1259" w:type="dxa"/>
            <w:vMerge w:val="restart"/>
            <w:tcBorders>
              <w:top w:val="single" w:sz="8" w:space="0" w:color="000000"/>
              <w:left w:val="single" w:sz="8" w:space="0" w:color="000000"/>
              <w:bottom w:val="single" w:sz="8" w:space="0" w:color="000000"/>
              <w:right w:val="single" w:sz="8" w:space="0" w:color="000000"/>
            </w:tcBorders>
          </w:tcPr>
          <w:p>
            <w:pPr>
              <w:pStyle w:val="Normal"/>
              <w:widowControl w:val="false"/>
              <w:spacing w:before="0" w:after="120"/>
              <w:jc w:val="center"/>
              <w:rPr>
                <w:b/>
                <w:bCs/>
              </w:rPr>
            </w:pPr>
            <w:r>
              <w:rPr>
                <w:b/>
                <w:bCs/>
              </w:rPr>
              <w:t>203</w:t>
            </w:r>
          </w:p>
        </w:tc>
        <w:tc>
          <w:tcPr>
            <w:tcW w:w="7812" w:type="dxa"/>
            <w:gridSpan w:val="2"/>
            <w:tcBorders>
              <w:top w:val="single" w:sz="8" w:space="0" w:color="000000"/>
              <w:left w:val="single" w:sz="8" w:space="0" w:color="000000"/>
              <w:bottom w:val="single" w:sz="8" w:space="0" w:color="000000"/>
              <w:right w:val="single" w:sz="8" w:space="0" w:color="000000"/>
            </w:tcBorders>
            <w:vAlign w:val="center"/>
          </w:tcPr>
          <w:p>
            <w:pPr>
              <w:pStyle w:val="Normal"/>
              <w:widowControl w:val="false"/>
              <w:rPr>
                <w:b/>
                <w:bCs/>
                <w:smallCaps/>
                <w:color w:val="339966"/>
                <w:spacing w:val="-6"/>
                <w:sz w:val="24"/>
                <w:szCs w:val="24"/>
              </w:rPr>
            </w:pPr>
            <w:r>
              <w:rPr>
                <w:b/>
                <w:bCs/>
                <w:smallCaps/>
                <w:color w:val="339966"/>
                <w:spacing w:val="-6"/>
                <w:sz w:val="24"/>
                <w:szCs w:val="24"/>
              </w:rPr>
              <w:t>Purge des verrières inférieures</w:t>
            </w:r>
          </w:p>
          <w:p>
            <w:pPr>
              <w:pStyle w:val="Normal"/>
              <w:widowControl w:val="false"/>
              <w:rPr/>
            </w:pPr>
            <w:r>
              <w:rPr/>
              <w:t xml:space="preserve">Ce prix rémunère, à l’unité, la purge des verrières inférieures, conformément aux prescription définies ans les CCTP. </w:t>
            </w:r>
          </w:p>
          <w:p>
            <w:pPr>
              <w:pStyle w:val="Normal"/>
              <w:widowControl w:val="false"/>
              <w:rPr/>
            </w:pPr>
            <w:r>
              <w:rPr/>
              <w:t xml:space="preserve">L’unité correspond à un panneau de verre de dimensions courantes 920mmx2850mm y compris ses supports métalliques, telles qu’indiquées sur les plans joints DCE. </w:t>
            </w:r>
          </w:p>
          <w:p>
            <w:pPr>
              <w:pStyle w:val="Normal"/>
              <w:widowControl w:val="false"/>
              <w:rPr/>
            </w:pPr>
            <w:r>
              <w:rPr/>
            </w:r>
          </w:p>
          <w:p>
            <w:pPr>
              <w:pStyle w:val="Normal"/>
              <w:widowControl w:val="false"/>
              <w:rPr/>
            </w:pPr>
            <w:r>
              <w:rPr/>
              <w:t>La purge des verrières inférieures est réalisée depuis l’intrados.</w:t>
            </w:r>
          </w:p>
          <w:p>
            <w:pPr>
              <w:pStyle w:val="Normal"/>
              <w:widowControl w:val="false"/>
              <w:rPr/>
            </w:pPr>
            <w:r>
              <w:rPr/>
            </w:r>
          </w:p>
          <w:p>
            <w:pPr>
              <w:pStyle w:val="Normal"/>
              <w:widowControl w:val="false"/>
              <w:rPr/>
            </w:pPr>
            <w:r>
              <w:rPr/>
              <w:t>Ce prix comprend notamment :</w:t>
            </w:r>
          </w:p>
          <w:p>
            <w:pPr>
              <w:pStyle w:val="ListParagraph"/>
              <w:widowControl w:val="false"/>
              <w:numPr>
                <w:ilvl w:val="0"/>
                <w:numId w:val="17"/>
              </w:numPr>
              <w:rPr/>
            </w:pPr>
            <w:r>
              <w:rPr/>
              <w:t>La mise à disposition ou la fourniture, l'amenée et l'installation complète des matériels et du personnel nécessaires à cette opération ;</w:t>
            </w:r>
          </w:p>
          <w:p>
            <w:pPr>
              <w:pStyle w:val="ListParagraph"/>
              <w:widowControl w:val="false"/>
              <w:numPr>
                <w:ilvl w:val="0"/>
                <w:numId w:val="17"/>
              </w:numPr>
              <w:rPr/>
            </w:pPr>
            <w:r>
              <w:rPr/>
              <w:t>La protection de la zone de travaux (chaussées, GBA, ...) ;</w:t>
            </w:r>
          </w:p>
          <w:p>
            <w:pPr>
              <w:pStyle w:val="ListParagraph"/>
              <w:widowControl w:val="false"/>
              <w:numPr>
                <w:ilvl w:val="0"/>
                <w:numId w:val="17"/>
              </w:numPr>
              <w:rPr/>
            </w:pPr>
            <w:r>
              <w:rPr>
                <w:b/>
                <w:bCs w:val="false"/>
              </w:rPr>
              <w:t>la mobilisation du nombre d’ateliers, d’équipes et de moyens matériels nécessaires, ainsi que l’adaptation des cadences d’exécution permettant de respecter les délais d’intervention impartis au marché et les contraintes d’exploitation de l’ouvrage</w:t>
            </w:r>
            <w:r>
              <w:rPr>
                <w:b/>
              </w:rPr>
              <w:t>,</w:t>
            </w:r>
          </w:p>
          <w:p>
            <w:pPr>
              <w:pStyle w:val="ListParagraph"/>
              <w:widowControl w:val="false"/>
              <w:numPr>
                <w:ilvl w:val="0"/>
                <w:numId w:val="17"/>
              </w:numPr>
              <w:rPr/>
            </w:pPr>
            <w:r>
              <w:rPr/>
              <w:t>L’éclairage des zones des travaux pour les différents ateliers de dépose,</w:t>
            </w:r>
          </w:p>
          <w:p>
            <w:pPr>
              <w:pStyle w:val="ListParagraph"/>
              <w:widowControl w:val="false"/>
              <w:ind w:hanging="0" w:left="720" w:right="0"/>
              <w:rPr>
                <w:b/>
                <w:bCs w:val="false"/>
                <w:i/>
                <w:iCs/>
              </w:rPr>
            </w:pPr>
            <w:r>
              <w:rPr>
                <w:b/>
                <w:bCs w:val="false"/>
                <w:i/>
                <w:iCs/>
              </w:rPr>
              <w:t>Aucune projection lumineuse directe vers les voies circulées ne sera admise. L’entreprise devra, le cas échéant, adapter l’orientation, l’intensité ou le positionnement des projecteurs afin de garantir l’absence d’éblouissement.</w:t>
            </w:r>
          </w:p>
          <w:p>
            <w:pPr>
              <w:pStyle w:val="ListParagraph"/>
              <w:widowControl w:val="false"/>
              <w:numPr>
                <w:ilvl w:val="0"/>
                <w:numId w:val="17"/>
              </w:numPr>
              <w:rPr/>
            </w:pPr>
            <w:r>
              <w:rPr/>
              <w:t>La démolition des panneaux de verres armés ;</w:t>
            </w:r>
          </w:p>
          <w:p>
            <w:pPr>
              <w:pStyle w:val="ListParagraph"/>
              <w:widowControl w:val="false"/>
              <w:numPr>
                <w:ilvl w:val="0"/>
                <w:numId w:val="17"/>
              </w:numPr>
              <w:rPr/>
            </w:pPr>
            <w:r>
              <w:rPr/>
              <w:t>La dépose de la structure métallique servant de support ;</w:t>
            </w:r>
          </w:p>
          <w:p>
            <w:pPr>
              <w:pStyle w:val="ListParagraph"/>
              <w:widowControl w:val="false"/>
              <w:numPr>
                <w:ilvl w:val="0"/>
                <w:numId w:val="17"/>
              </w:numPr>
              <w:rPr/>
            </w:pPr>
            <w:r>
              <w:rPr/>
              <w:t>La dépose soignée complémentaire des zones d’appuis des verres armés ;</w:t>
            </w:r>
          </w:p>
          <w:p>
            <w:pPr>
              <w:pStyle w:val="ListParagraph"/>
              <w:widowControl w:val="false"/>
              <w:numPr>
                <w:ilvl w:val="0"/>
                <w:numId w:val="17"/>
              </w:numPr>
              <w:rPr/>
            </w:pPr>
            <w:r>
              <w:rPr/>
              <w:t>L’évacuation des éléments démolis/déposés ;</w:t>
            </w:r>
          </w:p>
          <w:p>
            <w:pPr>
              <w:pStyle w:val="ListParagraph"/>
              <w:widowControl w:val="false"/>
              <w:numPr>
                <w:ilvl w:val="0"/>
                <w:numId w:val="17"/>
              </w:numPr>
              <w:rPr/>
            </w:pPr>
            <w:r>
              <w:rPr/>
              <w:t>Le traitement des déchets ;</w:t>
            </w:r>
          </w:p>
          <w:p>
            <w:pPr>
              <w:pStyle w:val="ListParagraph"/>
              <w:widowControl w:val="false"/>
              <w:numPr>
                <w:ilvl w:val="0"/>
                <w:numId w:val="17"/>
              </w:numPr>
              <w:rPr/>
            </w:pPr>
            <w:r>
              <w:rPr/>
              <w:t>Le nettoyage après travaux ;</w:t>
            </w:r>
          </w:p>
          <w:p>
            <w:pPr>
              <w:pStyle w:val="ListParagraph"/>
              <w:widowControl w:val="false"/>
              <w:numPr>
                <w:ilvl w:val="0"/>
                <w:numId w:val="17"/>
              </w:numPr>
              <w:rPr/>
            </w:pPr>
            <w:r>
              <w:rPr/>
              <w:t>La dépose soignée des éléments métalliques supports de la verrière et qui ne seraient pas nécessaire au supportage de l’écran horizontal antichute rémunéré par les prix 301, 302, 303 et 304 ;</w:t>
            </w:r>
          </w:p>
          <w:p>
            <w:pPr>
              <w:pStyle w:val="Normal"/>
              <w:widowControl w:val="false"/>
              <w:numPr>
                <w:ilvl w:val="0"/>
                <w:numId w:val="17"/>
              </w:numPr>
              <w:rPr>
                <w:bCs/>
              </w:rPr>
            </w:pPr>
            <w:r>
              <w:rPr>
                <w:bCs/>
              </w:rPr>
              <w:t>La plus-value pour l’exécution des travaux les week-ends et de nuit ;</w:t>
            </w:r>
          </w:p>
          <w:p>
            <w:pPr>
              <w:pStyle w:val="ListParagraph"/>
              <w:widowControl w:val="false"/>
              <w:numPr>
                <w:ilvl w:val="0"/>
                <w:numId w:val="17"/>
              </w:numPr>
              <w:rPr/>
            </w:pPr>
            <w:r>
              <w:rPr/>
              <w:t>Toutes sujétions d'exécution fractionnée sur plusieurs week-ends.</w:t>
            </w:r>
          </w:p>
          <w:p>
            <w:pPr>
              <w:pStyle w:val="Normal"/>
              <w:widowControl w:val="false"/>
              <w:rPr/>
            </w:pPr>
            <w:r>
              <w:rPr/>
            </w:r>
          </w:p>
          <w:p>
            <w:pPr>
              <w:pStyle w:val="Normal"/>
              <w:widowControl w:val="false"/>
              <w:rPr/>
            </w:pPr>
            <w:r>
              <w:rPr/>
              <w:t>La chaussée qui aurait été dégradée pendant cette phase sera reprise aux frais de l’entreprise pendant la durée prévue pour cette phase.</w:t>
            </w:r>
          </w:p>
          <w:p>
            <w:pPr>
              <w:pStyle w:val="Normal"/>
              <w:widowControl w:val="false"/>
              <w:rPr/>
            </w:pPr>
            <w:r>
              <w:rPr/>
              <w:t>Toute verrière lâche ou brisée sera considérée comme un élément distinct et fera l’objet d’une dépose intégrale</w:t>
            </w:r>
            <w:r>
              <w:rPr>
                <w:b/>
                <w:bCs/>
              </w:rPr>
              <w:t>.</w:t>
            </w:r>
          </w:p>
          <w:p>
            <w:pPr>
              <w:pStyle w:val="Normal"/>
              <w:widowControl w:val="false"/>
              <w:rPr/>
            </w:pPr>
            <w:r>
              <w:rPr/>
              <w:t>Le nombre d’unité est déterminé par constat contradictoire entre l’entrepreneur et le maître d’œuvre avant le démarrage des travaux.</w:t>
            </w:r>
          </w:p>
          <w:p>
            <w:pPr>
              <w:pStyle w:val="Normal"/>
              <w:widowControl w:val="false"/>
              <w:rPr/>
            </w:pPr>
            <w:r>
              <w:rPr/>
              <w:t>Ce prix ne comprend pas :</w:t>
            </w:r>
          </w:p>
          <w:p>
            <w:pPr>
              <w:pStyle w:val="ListParagraph"/>
              <w:widowControl w:val="false"/>
              <w:numPr>
                <w:ilvl w:val="0"/>
                <w:numId w:val="17"/>
              </w:numPr>
              <w:rPr/>
            </w:pPr>
            <w:r>
              <w:rPr/>
              <w:t>Les moyens d’accès à la zone des travaux, rémunérés par le prix n°201</w:t>
            </w:r>
          </w:p>
          <w:p>
            <w:pPr>
              <w:pStyle w:val="Normal"/>
              <w:widowControl w:val="false"/>
              <w:rPr/>
            </w:pPr>
            <w:r>
              <w:rPr/>
            </w:r>
          </w:p>
          <w:p>
            <w:pPr>
              <w:pStyle w:val="Normal"/>
              <w:widowControl w:val="false"/>
              <w:rPr/>
            </w:pPr>
            <w:r>
              <w:rPr/>
              <w:t>Ce prix est réglé mensuellement sur décompte des quantités démolies.</w:t>
            </w:r>
          </w:p>
          <w:p>
            <w:pPr>
              <w:pStyle w:val="Normal"/>
              <w:widowControl w:val="false"/>
              <w:spacing w:before="0" w:after="120"/>
              <w:rPr/>
            </w:pPr>
            <w:r>
              <w:rPr/>
            </w:r>
          </w:p>
        </w:tc>
      </w:tr>
      <w:tr>
        <w:trPr>
          <w:trHeight w:val="1304" w:hRule="atLeast"/>
        </w:trPr>
        <w:tc>
          <w:tcPr>
            <w:tcW w:w="1259" w:type="dxa"/>
            <w:vMerge w:val="continue"/>
            <w:tcBorders>
              <w:top w:val="single" w:sz="8" w:space="0" w:color="000000"/>
              <w:left w:val="single" w:sz="8" w:space="0" w:color="000000"/>
              <w:bottom w:val="single" w:sz="8" w:space="0" w:color="000000"/>
              <w:right w:val="single" w:sz="8" w:space="0" w:color="000000"/>
            </w:tcBorders>
            <w:vAlign w:val="center"/>
          </w:tcPr>
          <w:p>
            <w:pPr>
              <w:pStyle w:val="Normal"/>
              <w:widowControl/>
              <w:suppressAutoHyphens w:val="true"/>
              <w:bidi w:val="0"/>
              <w:spacing w:before="0" w:after="120"/>
              <w:jc w:val="both"/>
              <w:rPr/>
            </w:pPr>
            <w:r>
              <w:rPr/>
            </w:r>
          </w:p>
        </w:tc>
        <w:tc>
          <w:tcPr>
            <w:tcW w:w="5221" w:type="dxa"/>
            <w:tcBorders>
              <w:top w:val="single" w:sz="8" w:space="0" w:color="000000"/>
              <w:left w:val="single" w:sz="8" w:space="0" w:color="000000"/>
              <w:bottom w:val="single" w:sz="8" w:space="0" w:color="000000"/>
              <w:right w:val="single" w:sz="8" w:space="0" w:color="000000"/>
            </w:tcBorders>
          </w:tcPr>
          <w:p>
            <w:pPr>
              <w:pStyle w:val="Normal"/>
              <w:widowControl w:val="false"/>
              <w:tabs>
                <w:tab w:val="clear" w:pos="708"/>
                <w:tab w:val="center" w:pos="4536" w:leader="none"/>
                <w:tab w:val="right" w:pos="9072" w:leader="none"/>
              </w:tabs>
              <w:rPr>
                <w:b/>
                <w:bCs/>
              </w:rPr>
            </w:pPr>
            <w:r>
              <w:rPr>
                <w:b/>
                <w:bCs/>
              </w:rPr>
              <w:t>L’unité (en lettres)</w:t>
            </w:r>
          </w:p>
          <w:p>
            <w:pPr>
              <w:pStyle w:val="Normal"/>
              <w:widowControl w:val="false"/>
              <w:tabs>
                <w:tab w:val="clear" w:pos="708"/>
                <w:tab w:val="center" w:pos="4536" w:leader="none"/>
                <w:tab w:val="right" w:pos="9072" w:leader="none"/>
              </w:tabs>
              <w:spacing w:before="0" w:after="120"/>
              <w:jc w:val="left"/>
              <w:rPr/>
            </w:pPr>
            <w:r>
              <w:rPr/>
            </w:r>
          </w:p>
        </w:tc>
        <w:tc>
          <w:tcPr>
            <w:tcW w:w="2591" w:type="dxa"/>
            <w:tcBorders>
              <w:top w:val="single" w:sz="8" w:space="0" w:color="000000"/>
              <w:left w:val="single" w:sz="8" w:space="0" w:color="000000"/>
              <w:bottom w:val="single" w:sz="8" w:space="0" w:color="000000"/>
              <w:right w:val="single" w:sz="8" w:space="0" w:color="000000"/>
            </w:tcBorders>
          </w:tcPr>
          <w:p>
            <w:pPr>
              <w:pStyle w:val="Normal"/>
              <w:widowControl w:val="false"/>
              <w:tabs>
                <w:tab w:val="clear" w:pos="708"/>
                <w:tab w:val="center" w:pos="4536" w:leader="none"/>
                <w:tab w:val="right" w:pos="9072" w:leader="none"/>
              </w:tabs>
              <w:jc w:val="left"/>
              <w:rPr>
                <w:b/>
                <w:bCs/>
              </w:rPr>
            </w:pPr>
            <w:r>
              <w:rPr>
                <w:b/>
                <w:bCs/>
              </w:rPr>
              <w:t>L’unité (en chiffres)</w:t>
            </w:r>
          </w:p>
          <w:p>
            <w:pPr>
              <w:pStyle w:val="Normal"/>
              <w:widowControl w:val="false"/>
              <w:tabs>
                <w:tab w:val="clear" w:pos="708"/>
                <w:tab w:val="center" w:pos="4536" w:leader="none"/>
                <w:tab w:val="right" w:pos="9072" w:leader="none"/>
              </w:tabs>
              <w:spacing w:before="0" w:after="120"/>
              <w:jc w:val="left"/>
              <w:rPr/>
            </w:pPr>
            <w:r>
              <w:rPr/>
            </w:r>
          </w:p>
        </w:tc>
      </w:tr>
    </w:tbl>
    <w:p>
      <w:pPr>
        <w:pStyle w:val="Normal"/>
        <w:spacing w:before="0" w:after="0"/>
        <w:jc w:val="left"/>
        <w:rPr/>
      </w:pPr>
      <w:r>
        <w:rPr/>
      </w:r>
      <w:r>
        <w:br w:type="page"/>
      </w:r>
    </w:p>
    <w:p>
      <w:pPr>
        <w:pStyle w:val="Heading1"/>
        <w:numPr>
          <w:ilvl w:val="0"/>
          <w:numId w:val="27"/>
        </w:numPr>
        <w:rPr/>
      </w:pPr>
      <w:bookmarkStart w:id="27" w:name="__RefHeading___Toc8876_2322646747"/>
      <w:bookmarkStart w:id="28" w:name="_Toc221868246"/>
      <w:bookmarkEnd w:id="27"/>
      <w:r>
        <w:rPr/>
        <w:t>Installation d’un système de protection antichute</w:t>
      </w:r>
      <w:bookmarkEnd w:id="28"/>
      <w:r>
        <w:rPr/>
        <w:t xml:space="preserve"> horizontal</w:t>
      </w:r>
    </w:p>
    <w:tbl>
      <w:tblPr>
        <w:tblW w:w="9071" w:type="dxa"/>
        <w:jc w:val="left"/>
        <w:tblInd w:w="108" w:type="dxa"/>
        <w:tblLayout w:type="fixed"/>
        <w:tblCellMar>
          <w:top w:w="0" w:type="dxa"/>
          <w:left w:w="108" w:type="dxa"/>
          <w:bottom w:w="0" w:type="dxa"/>
          <w:right w:w="108" w:type="dxa"/>
        </w:tblCellMar>
      </w:tblPr>
      <w:tblGrid>
        <w:gridCol w:w="1259"/>
        <w:gridCol w:w="5221"/>
        <w:gridCol w:w="2591"/>
      </w:tblGrid>
      <w:tr>
        <w:trPr/>
        <w:tc>
          <w:tcPr>
            <w:tcW w:w="1259" w:type="dxa"/>
            <w:tcBorders>
              <w:top w:val="single" w:sz="8" w:space="0" w:color="000000"/>
              <w:left w:val="single" w:sz="8" w:space="0" w:color="000000"/>
              <w:bottom w:val="single" w:sz="8" w:space="0" w:color="000000"/>
              <w:right w:val="single" w:sz="8" w:space="0" w:color="000000"/>
            </w:tcBorders>
            <w:shd w:fill="009782" w:val="clear"/>
          </w:tcPr>
          <w:p>
            <w:pPr>
              <w:pStyle w:val="Normal"/>
              <w:widowControl w:val="false"/>
              <w:spacing w:before="0" w:after="0"/>
              <w:jc w:val="left"/>
              <w:rPr>
                <w:b/>
                <w:bCs/>
                <w:i/>
                <w:color w:val="FFFFFF"/>
              </w:rPr>
            </w:pPr>
            <w:r>
              <w:rPr>
                <w:b/>
                <w:bCs/>
                <w:i/>
                <w:color w:val="FFFFFF"/>
              </w:rPr>
              <w:t>N° PRIX</w:t>
            </w:r>
          </w:p>
        </w:tc>
        <w:tc>
          <w:tcPr>
            <w:tcW w:w="7812" w:type="dxa"/>
            <w:gridSpan w:val="2"/>
            <w:tcBorders>
              <w:top w:val="single" w:sz="8" w:space="0" w:color="000000"/>
              <w:left w:val="single" w:sz="8" w:space="0" w:color="000000"/>
              <w:bottom w:val="single" w:sz="8" w:space="0" w:color="000000"/>
              <w:right w:val="single" w:sz="8" w:space="0" w:color="000000"/>
            </w:tcBorders>
            <w:shd w:fill="009782" w:val="clear"/>
            <w:vAlign w:val="center"/>
          </w:tcPr>
          <w:p>
            <w:pPr>
              <w:pStyle w:val="Normal"/>
              <w:widowControl w:val="false"/>
              <w:spacing w:before="0" w:after="0"/>
              <w:jc w:val="left"/>
              <w:rPr>
                <w:b/>
                <w:bCs/>
                <w:i/>
                <w:color w:val="FFFFFF"/>
              </w:rPr>
            </w:pPr>
            <w:r>
              <w:rPr>
                <w:b/>
                <w:bCs/>
                <w:i/>
                <w:color w:val="FFFFFF"/>
              </w:rPr>
              <w:t>DESIGNATION DES OUVRAGES ET PRIX HORS TAXE</w:t>
            </w:r>
          </w:p>
        </w:tc>
      </w:tr>
      <w:tr>
        <w:trPr/>
        <w:tc>
          <w:tcPr>
            <w:tcW w:w="1259" w:type="dxa"/>
            <w:vMerge w:val="restart"/>
            <w:tcBorders>
              <w:top w:val="single" w:sz="8" w:space="0" w:color="000000"/>
              <w:left w:val="single" w:sz="8" w:space="0" w:color="000000"/>
              <w:bottom w:val="single" w:sz="8" w:space="0" w:color="000000"/>
              <w:right w:val="single" w:sz="8" w:space="0" w:color="000000"/>
            </w:tcBorders>
          </w:tcPr>
          <w:p>
            <w:pPr>
              <w:pStyle w:val="Normal"/>
              <w:widowControl w:val="false"/>
              <w:spacing w:before="0" w:after="0"/>
              <w:jc w:val="left"/>
              <w:rPr>
                <w:b/>
                <w:bCs/>
              </w:rPr>
            </w:pPr>
            <w:r>
              <w:rPr>
                <w:b/>
                <w:bCs/>
              </w:rPr>
              <w:t>301</w:t>
            </w:r>
          </w:p>
        </w:tc>
        <w:tc>
          <w:tcPr>
            <w:tcW w:w="7812" w:type="dxa"/>
            <w:gridSpan w:val="2"/>
            <w:tcBorders>
              <w:top w:val="single" w:sz="8" w:space="0" w:color="000000"/>
              <w:left w:val="single" w:sz="8" w:space="0" w:color="000000"/>
              <w:bottom w:val="single" w:sz="8" w:space="0" w:color="000000"/>
              <w:right w:val="single" w:sz="8" w:space="0" w:color="000000"/>
            </w:tcBorders>
            <w:vAlign w:val="center"/>
          </w:tcPr>
          <w:p>
            <w:pPr>
              <w:pStyle w:val="Normal"/>
              <w:widowControl w:val="false"/>
              <w:spacing w:before="0" w:after="0"/>
              <w:jc w:val="left"/>
              <w:rPr>
                <w:b/>
                <w:bCs/>
                <w:smallCaps/>
                <w:color w:val="339966"/>
                <w:spacing w:val="-6"/>
                <w:sz w:val="24"/>
                <w:szCs w:val="24"/>
              </w:rPr>
            </w:pPr>
            <w:r>
              <w:rPr>
                <w:b/>
                <w:bCs/>
                <w:smallCaps/>
                <w:color w:val="339966"/>
                <w:spacing w:val="-6"/>
                <w:sz w:val="24"/>
                <w:szCs w:val="24"/>
              </w:rPr>
              <w:t xml:space="preserve">Fourniture d’un système de protection antichute </w:t>
            </w:r>
          </w:p>
          <w:p>
            <w:pPr>
              <w:pStyle w:val="Normal"/>
              <w:widowControl w:val="false"/>
              <w:spacing w:before="0" w:after="0"/>
              <w:jc w:val="left"/>
              <w:rPr>
                <w:b/>
                <w:bCs/>
              </w:rPr>
            </w:pPr>
            <w:r>
              <w:rPr>
                <w:b/>
                <w:bCs/>
              </w:rPr>
            </w:r>
          </w:p>
          <w:p>
            <w:pPr>
              <w:pStyle w:val="Normal"/>
              <w:widowControl w:val="false"/>
              <w:spacing w:before="0" w:after="0"/>
              <w:rPr/>
            </w:pPr>
            <w:r>
              <w:rPr/>
              <w:t>Ce prix rémunère, au mètre carré, la fourniture d’un système de protection horizontale contre les chutes de débris, de type filet horizontal de protection antichute avec pare-gravats ou équivalent, déployé sur l’intégralité de la surface inférieure de la couverture et conforme aux prescriptions du CCTP.</w:t>
            </w:r>
          </w:p>
          <w:p>
            <w:pPr>
              <w:pStyle w:val="Normal"/>
              <w:widowControl w:val="false"/>
              <w:spacing w:before="0" w:after="0"/>
              <w:rPr/>
            </w:pPr>
            <w:r>
              <w:rPr/>
            </w:r>
          </w:p>
          <w:p>
            <w:pPr>
              <w:pStyle w:val="Normal"/>
              <w:widowControl w:val="false"/>
              <w:spacing w:before="0" w:after="0"/>
              <w:jc w:val="left"/>
              <w:rPr/>
            </w:pPr>
            <w:r>
              <w:rPr/>
              <w:t>La surface de mise en œuvre de la protection antiprojection est calculée uniquement entre les poutres butons. La surface des poutres butons ne sont pas intégrés dans le décompte des quantités à protéger.</w:t>
            </w:r>
          </w:p>
          <w:p>
            <w:pPr>
              <w:pStyle w:val="Normal"/>
              <w:widowControl w:val="false"/>
              <w:spacing w:before="0" w:after="0"/>
              <w:rPr/>
            </w:pPr>
            <w:r>
              <w:rPr/>
            </w:r>
          </w:p>
          <w:p>
            <w:pPr>
              <w:pStyle w:val="Normal"/>
              <w:widowControl w:val="false"/>
              <w:spacing w:before="0" w:after="0"/>
              <w:jc w:val="left"/>
              <w:rPr/>
            </w:pPr>
            <w:r>
              <w:rPr/>
            </w:r>
          </w:p>
          <w:p>
            <w:pPr>
              <w:pStyle w:val="Normal"/>
              <w:widowControl w:val="false"/>
              <w:spacing w:before="0" w:after="0"/>
              <w:jc w:val="left"/>
              <w:rPr/>
            </w:pPr>
            <w:r>
              <w:rPr/>
              <w:t>Il comprend notamment :</w:t>
            </w:r>
          </w:p>
          <w:p>
            <w:pPr>
              <w:pStyle w:val="Normal"/>
              <w:widowControl w:val="false"/>
              <w:spacing w:before="0" w:after="0"/>
              <w:jc w:val="left"/>
              <w:rPr/>
            </w:pPr>
            <w:r>
              <w:rPr/>
            </w:r>
          </w:p>
          <w:p>
            <w:pPr>
              <w:pStyle w:val="Normal"/>
              <w:widowControl w:val="false"/>
              <w:numPr>
                <w:ilvl w:val="0"/>
                <w:numId w:val="17"/>
              </w:numPr>
              <w:spacing w:before="0" w:after="0"/>
              <w:jc w:val="left"/>
              <w:rPr>
                <w:bCs/>
              </w:rPr>
            </w:pPr>
            <w:r>
              <w:rPr>
                <w:bCs/>
              </w:rPr>
              <w:t>La fourniture du système de protection type filet antichute doublé ou muni d’un dispositif pare-gravats intégré ou autre dispositif équivalent validé par le MOE.</w:t>
            </w:r>
          </w:p>
          <w:p>
            <w:pPr>
              <w:pStyle w:val="Normal"/>
              <w:widowControl w:val="false"/>
              <w:numPr>
                <w:ilvl w:val="0"/>
                <w:numId w:val="17"/>
              </w:numPr>
              <w:spacing w:before="0" w:after="0"/>
              <w:jc w:val="left"/>
              <w:rPr>
                <w:bCs/>
              </w:rPr>
            </w:pPr>
            <w:r>
              <w:rPr>
                <w:bCs/>
              </w:rPr>
              <w:t>La fourniture des dispositifs d’attache du système de protection.</w:t>
            </w:r>
          </w:p>
          <w:p>
            <w:pPr>
              <w:pStyle w:val="Normal"/>
              <w:widowControl w:val="false"/>
              <w:spacing w:before="0" w:after="0"/>
              <w:jc w:val="left"/>
              <w:rPr>
                <w:bCs/>
              </w:rPr>
            </w:pPr>
            <w:r>
              <w:rPr>
                <w:bCs/>
              </w:rPr>
            </w:r>
          </w:p>
          <w:p>
            <w:pPr>
              <w:pStyle w:val="Normal"/>
              <w:widowControl w:val="false"/>
              <w:spacing w:before="0" w:after="0"/>
              <w:rPr>
                <w:bCs/>
              </w:rPr>
            </w:pPr>
            <w:r>
              <w:rPr>
                <w:bCs/>
              </w:rPr>
              <w:t>Les quantités prises en compte pour la rémunération de ce prix sont conventionnellement définies par le produit de la largeur entre nus de piédroits de la tranchée couvert et la longueur cumulée entre poutres butons successives.</w:t>
            </w:r>
          </w:p>
          <w:p>
            <w:pPr>
              <w:pStyle w:val="Normal"/>
              <w:widowControl w:val="false"/>
              <w:spacing w:before="0" w:after="0"/>
              <w:jc w:val="left"/>
              <w:rPr>
                <w:bCs/>
              </w:rPr>
            </w:pPr>
            <w:r>
              <w:rPr>
                <w:bCs/>
              </w:rPr>
            </w:r>
          </w:p>
          <w:p>
            <w:pPr>
              <w:pStyle w:val="Normal"/>
              <w:widowControl w:val="false"/>
              <w:spacing w:before="0" w:after="0"/>
              <w:rPr>
                <w:bCs/>
              </w:rPr>
            </w:pPr>
            <w:r>
              <w:rPr>
                <w:bCs/>
              </w:rPr>
              <w:t>Les surlongueurs nécessaires pour la fixation, ou pour la découpe / ajustement du système sur les flancs des poutres butons ne seront conventionnellement pas prises en compte.</w:t>
            </w:r>
          </w:p>
          <w:p>
            <w:pPr>
              <w:pStyle w:val="Normal"/>
              <w:widowControl w:val="false"/>
              <w:spacing w:before="0" w:after="0"/>
              <w:jc w:val="left"/>
              <w:rPr>
                <w:bCs/>
              </w:rPr>
            </w:pPr>
            <w:r>
              <w:rPr>
                <w:bCs/>
              </w:rPr>
            </w:r>
          </w:p>
          <w:p>
            <w:pPr>
              <w:pStyle w:val="Normal"/>
              <w:widowControl w:val="false"/>
              <w:rPr/>
            </w:pPr>
            <w:r>
              <w:rPr/>
              <w:t>Ce prix est réglé mensuellement sur décompte des quantités fournies.</w:t>
            </w:r>
          </w:p>
          <w:p>
            <w:pPr>
              <w:pStyle w:val="Normal"/>
              <w:widowControl w:val="false"/>
              <w:spacing w:before="0" w:after="0"/>
              <w:jc w:val="left"/>
              <w:rPr>
                <w:bCs/>
              </w:rPr>
            </w:pPr>
            <w:r>
              <w:rPr>
                <w:bCs/>
              </w:rPr>
            </w:r>
          </w:p>
        </w:tc>
      </w:tr>
      <w:tr>
        <w:trPr>
          <w:trHeight w:val="1304" w:hRule="atLeast"/>
        </w:trPr>
        <w:tc>
          <w:tcPr>
            <w:tcW w:w="1259" w:type="dxa"/>
            <w:vMerge w:val="continue"/>
            <w:tcBorders>
              <w:top w:val="single" w:sz="8" w:space="0" w:color="000000"/>
              <w:left w:val="single" w:sz="8" w:space="0" w:color="000000"/>
              <w:bottom w:val="single" w:sz="8" w:space="0" w:color="000000"/>
              <w:right w:val="single" w:sz="8" w:space="0" w:color="000000"/>
            </w:tcBorders>
            <w:vAlign w:val="center"/>
          </w:tcPr>
          <w:p>
            <w:pPr>
              <w:pStyle w:val="Normal"/>
              <w:widowControl/>
              <w:suppressAutoHyphens w:val="true"/>
              <w:bidi w:val="0"/>
              <w:spacing w:before="0" w:after="120"/>
              <w:jc w:val="both"/>
              <w:rPr/>
            </w:pPr>
            <w:r>
              <w:rPr/>
            </w:r>
          </w:p>
        </w:tc>
        <w:tc>
          <w:tcPr>
            <w:tcW w:w="5221" w:type="dxa"/>
            <w:tcBorders>
              <w:top w:val="single" w:sz="8" w:space="0" w:color="000000"/>
              <w:left w:val="single" w:sz="8" w:space="0" w:color="000000"/>
              <w:bottom w:val="single" w:sz="8" w:space="0" w:color="000000"/>
              <w:right w:val="single" w:sz="8" w:space="0" w:color="000000"/>
            </w:tcBorders>
          </w:tcPr>
          <w:p>
            <w:pPr>
              <w:pStyle w:val="Normal"/>
              <w:widowControl w:val="false"/>
              <w:spacing w:before="0" w:after="0"/>
              <w:jc w:val="left"/>
              <w:rPr>
                <w:b/>
                <w:bCs/>
              </w:rPr>
            </w:pPr>
            <w:r>
              <w:rPr>
                <w:b/>
                <w:bCs/>
              </w:rPr>
              <w:t>Le mètre carré (en lettres)</w:t>
            </w:r>
          </w:p>
          <w:p>
            <w:pPr>
              <w:pStyle w:val="Normal"/>
              <w:widowControl w:val="false"/>
              <w:spacing w:before="0" w:after="0"/>
              <w:jc w:val="left"/>
              <w:rPr/>
            </w:pPr>
            <w:r>
              <w:rPr/>
            </w:r>
          </w:p>
        </w:tc>
        <w:tc>
          <w:tcPr>
            <w:tcW w:w="2591" w:type="dxa"/>
            <w:tcBorders>
              <w:top w:val="single" w:sz="8" w:space="0" w:color="000000"/>
              <w:left w:val="single" w:sz="8" w:space="0" w:color="000000"/>
              <w:bottom w:val="single" w:sz="8" w:space="0" w:color="000000"/>
              <w:right w:val="single" w:sz="8" w:space="0" w:color="000000"/>
            </w:tcBorders>
          </w:tcPr>
          <w:p>
            <w:pPr>
              <w:pStyle w:val="Normal"/>
              <w:widowControl w:val="false"/>
              <w:spacing w:before="0" w:after="0"/>
              <w:jc w:val="left"/>
              <w:rPr>
                <w:b/>
                <w:bCs/>
              </w:rPr>
            </w:pPr>
            <w:r>
              <w:rPr>
                <w:b/>
                <w:bCs/>
              </w:rPr>
              <w:t>Le mètre carré (en chiffres)</w:t>
            </w:r>
          </w:p>
          <w:p>
            <w:pPr>
              <w:pStyle w:val="Normal"/>
              <w:widowControl w:val="false"/>
              <w:spacing w:before="0" w:after="0"/>
              <w:jc w:val="left"/>
              <w:rPr/>
            </w:pPr>
            <w:r>
              <w:rPr/>
            </w:r>
          </w:p>
        </w:tc>
      </w:tr>
      <w:tr>
        <w:trPr>
          <w:trHeight w:val="1304" w:hRule="atLeast"/>
        </w:trPr>
        <w:tc>
          <w:tcPr>
            <w:tcW w:w="1259" w:type="dxa"/>
            <w:vMerge w:val="restart"/>
            <w:tcBorders>
              <w:top w:val="single" w:sz="8" w:space="0" w:color="000000"/>
              <w:left w:val="single" w:sz="8" w:space="0" w:color="000000"/>
              <w:bottom w:val="single" w:sz="8" w:space="0" w:color="000000"/>
              <w:right w:val="single" w:sz="8" w:space="0" w:color="000000"/>
            </w:tcBorders>
          </w:tcPr>
          <w:p>
            <w:pPr>
              <w:pStyle w:val="Normal"/>
              <w:widowControl w:val="false"/>
              <w:spacing w:before="0" w:after="0"/>
              <w:jc w:val="left"/>
              <w:rPr>
                <w:b/>
              </w:rPr>
            </w:pPr>
            <w:r>
              <w:rPr>
                <w:b/>
              </w:rPr>
              <w:t>302</w:t>
            </w:r>
          </w:p>
        </w:tc>
        <w:tc>
          <w:tcPr>
            <w:tcW w:w="7812" w:type="dxa"/>
            <w:gridSpan w:val="2"/>
            <w:tcBorders>
              <w:top w:val="single" w:sz="8" w:space="0" w:color="000000"/>
              <w:left w:val="single" w:sz="8" w:space="0" w:color="000000"/>
              <w:bottom w:val="single" w:sz="8" w:space="0" w:color="000000"/>
              <w:right w:val="single" w:sz="8" w:space="0" w:color="000000"/>
            </w:tcBorders>
          </w:tcPr>
          <w:p>
            <w:pPr>
              <w:pStyle w:val="Normal"/>
              <w:widowControl w:val="false"/>
              <w:spacing w:before="0" w:after="0"/>
              <w:jc w:val="left"/>
              <w:rPr>
                <w:b/>
                <w:bCs/>
                <w:smallCaps/>
                <w:color w:val="339966"/>
                <w:spacing w:val="-6"/>
                <w:sz w:val="24"/>
                <w:szCs w:val="24"/>
              </w:rPr>
            </w:pPr>
            <w:r>
              <w:rPr>
                <w:b/>
                <w:bCs/>
                <w:smallCaps/>
                <w:color w:val="339966"/>
                <w:spacing w:val="-6"/>
                <w:sz w:val="24"/>
                <w:szCs w:val="24"/>
              </w:rPr>
              <w:t>mise en œuvre du système de protection antichute</w:t>
            </w:r>
          </w:p>
          <w:p>
            <w:pPr>
              <w:pStyle w:val="Normal"/>
              <w:widowControl w:val="false"/>
              <w:spacing w:before="0" w:after="0"/>
              <w:jc w:val="left"/>
              <w:rPr>
                <w:b/>
                <w:bCs/>
              </w:rPr>
            </w:pPr>
            <w:r>
              <w:rPr>
                <w:b/>
                <w:bCs/>
              </w:rPr>
            </w:r>
          </w:p>
          <w:p>
            <w:pPr>
              <w:pStyle w:val="Normal"/>
              <w:widowControl w:val="false"/>
              <w:spacing w:before="0" w:after="0"/>
              <w:jc w:val="left"/>
              <w:rPr/>
            </w:pPr>
            <w:r>
              <w:rPr/>
              <w:t>Ce prix rémunère, au forfait, la mise en œuvre d’un système de protection horizontale contre les chutes de débris, de type filet horizontal de protection antichute avec pare-gravats ou équivalent, déployé sur l’intégralité de la surface inférieure de la couverture.</w:t>
            </w:r>
          </w:p>
          <w:p>
            <w:pPr>
              <w:pStyle w:val="Normal"/>
              <w:widowControl w:val="false"/>
              <w:spacing w:before="0" w:after="0"/>
              <w:jc w:val="left"/>
              <w:rPr/>
            </w:pPr>
            <w:r>
              <w:rPr/>
            </w:r>
          </w:p>
          <w:p>
            <w:pPr>
              <w:pStyle w:val="Normal"/>
              <w:widowControl w:val="false"/>
              <w:spacing w:before="0" w:after="0"/>
              <w:jc w:val="left"/>
              <w:rPr/>
            </w:pPr>
            <w:r>
              <w:rPr/>
              <w:t>La mise en œuvre de la protection sera réalisée depuis l’intrados, sous restriction partielle ou totale de la circulation de l’A20, conformément au phasage de dépose des verrières inférieures précisé au §1.5.2 du CCTP.</w:t>
            </w:r>
          </w:p>
          <w:p>
            <w:pPr>
              <w:pStyle w:val="Normal"/>
              <w:widowControl w:val="false"/>
              <w:spacing w:before="0" w:after="0"/>
              <w:jc w:val="left"/>
              <w:rPr/>
            </w:pPr>
            <w:r>
              <w:rPr/>
            </w:r>
          </w:p>
          <w:p>
            <w:pPr>
              <w:pStyle w:val="Normal"/>
              <w:widowControl w:val="false"/>
              <w:spacing w:before="0" w:after="0"/>
              <w:jc w:val="left"/>
              <w:rPr/>
            </w:pPr>
            <w:r>
              <w:rPr/>
              <w:t>Ce prix comprend notamment :</w:t>
            </w:r>
          </w:p>
          <w:p>
            <w:pPr>
              <w:pStyle w:val="Normal"/>
              <w:widowControl w:val="false"/>
              <w:spacing w:before="0" w:after="0"/>
              <w:jc w:val="left"/>
              <w:rPr/>
            </w:pPr>
            <w:r>
              <w:rPr/>
            </w:r>
          </w:p>
          <w:p>
            <w:pPr>
              <w:pStyle w:val="Normal"/>
              <w:widowControl w:val="false"/>
              <w:numPr>
                <w:ilvl w:val="0"/>
                <w:numId w:val="17"/>
              </w:numPr>
              <w:spacing w:before="0" w:after="0"/>
              <w:jc w:val="left"/>
              <w:rPr>
                <w:bCs/>
              </w:rPr>
            </w:pPr>
            <w:r>
              <w:rPr>
                <w:bCs/>
              </w:rPr>
              <w:t>L'amenée et l'installation complète des matériels et du personnel nécessaires à cette opération ;</w:t>
            </w:r>
          </w:p>
          <w:p>
            <w:pPr>
              <w:pStyle w:val="Normal"/>
              <w:widowControl w:val="false"/>
              <w:numPr>
                <w:ilvl w:val="0"/>
                <w:numId w:val="17"/>
              </w:numPr>
              <w:spacing w:before="0" w:after="0"/>
              <w:jc w:val="left"/>
              <w:rPr/>
            </w:pPr>
            <w:r>
              <w:rPr>
                <w:szCs w:val="22"/>
              </w:rPr>
              <w:t xml:space="preserve">Les moyens d’accès (y compris amené et repliement) pour réaliser les </w:t>
            </w:r>
            <w:r>
              <w:rPr>
                <w:bCs/>
              </w:rPr>
              <w:t>travaux d’installation du dispositif ;</w:t>
            </w:r>
          </w:p>
          <w:p>
            <w:pPr>
              <w:pStyle w:val="Normal"/>
              <w:widowControl w:val="false"/>
              <w:numPr>
                <w:ilvl w:val="0"/>
                <w:numId w:val="17"/>
              </w:numPr>
              <w:spacing w:before="0" w:after="0"/>
              <w:jc w:val="left"/>
              <w:rPr>
                <w:bCs/>
              </w:rPr>
            </w:pPr>
            <w:r>
              <w:rPr>
                <w:bCs/>
              </w:rPr>
              <w:t>La délimitation de la zone de travail ;</w:t>
            </w:r>
          </w:p>
          <w:p>
            <w:pPr>
              <w:pStyle w:val="Normal"/>
              <w:widowControl w:val="false"/>
              <w:numPr>
                <w:ilvl w:val="0"/>
                <w:numId w:val="17"/>
              </w:numPr>
              <w:spacing w:before="0" w:after="0"/>
              <w:jc w:val="left"/>
              <w:rPr>
                <w:bCs/>
              </w:rPr>
            </w:pPr>
            <w:r>
              <w:rPr>
                <w:bCs/>
              </w:rPr>
              <w:t>Le repérage d’armatures des poutres butons ;</w:t>
            </w:r>
          </w:p>
          <w:p>
            <w:pPr>
              <w:pStyle w:val="Normal"/>
              <w:widowControl w:val="false"/>
              <w:numPr>
                <w:ilvl w:val="0"/>
                <w:numId w:val="17"/>
              </w:numPr>
              <w:spacing w:before="0" w:after="0"/>
              <w:jc w:val="left"/>
              <w:rPr>
                <w:bCs/>
              </w:rPr>
            </w:pPr>
            <w:r>
              <w:rPr>
                <w:bCs/>
              </w:rPr>
              <w:t>La conception du système de fixation à soumettre à validation au Maitre d’œuvre ;</w:t>
            </w:r>
          </w:p>
          <w:p>
            <w:pPr>
              <w:pStyle w:val="Normal"/>
              <w:widowControl w:val="false"/>
              <w:numPr>
                <w:ilvl w:val="0"/>
                <w:numId w:val="17"/>
              </w:numPr>
              <w:spacing w:before="0" w:after="0"/>
              <w:jc w:val="left"/>
              <w:rPr>
                <w:bCs/>
              </w:rPr>
            </w:pPr>
            <w:r>
              <w:rPr>
                <w:bCs/>
              </w:rPr>
              <w:t>L’installation des supports ;</w:t>
            </w:r>
          </w:p>
          <w:p>
            <w:pPr>
              <w:pStyle w:val="Normal"/>
              <w:widowControl w:val="false"/>
              <w:numPr>
                <w:ilvl w:val="0"/>
                <w:numId w:val="17"/>
              </w:numPr>
              <w:spacing w:before="0" w:after="0"/>
              <w:jc w:val="left"/>
              <w:rPr>
                <w:bCs/>
              </w:rPr>
            </w:pPr>
            <w:r>
              <w:rPr>
                <w:bCs/>
              </w:rPr>
              <w:t>La fixation des écrans sur la structure adaptée ;</w:t>
            </w:r>
          </w:p>
          <w:p>
            <w:pPr>
              <w:pStyle w:val="Normal"/>
              <w:widowControl w:val="false"/>
              <w:numPr>
                <w:ilvl w:val="0"/>
                <w:numId w:val="17"/>
              </w:numPr>
              <w:spacing w:before="0" w:after="0"/>
              <w:jc w:val="left"/>
              <w:rPr>
                <w:bCs/>
              </w:rPr>
            </w:pPr>
            <w:r>
              <w:rPr>
                <w:bCs/>
              </w:rPr>
              <w:t>Le nettoyage après travaux.</w:t>
            </w:r>
          </w:p>
          <w:p>
            <w:pPr>
              <w:pStyle w:val="Normal"/>
              <w:widowControl w:val="false"/>
              <w:spacing w:before="0" w:after="0"/>
              <w:jc w:val="left"/>
              <w:rPr>
                <w:bCs/>
              </w:rPr>
            </w:pPr>
            <w:r>
              <w:rPr>
                <w:bCs/>
              </w:rPr>
            </w:r>
          </w:p>
          <w:p>
            <w:pPr>
              <w:pStyle w:val="Normal"/>
              <w:widowControl w:val="false"/>
              <w:rPr/>
            </w:pPr>
            <w:r>
              <w:rPr/>
              <w:t>Ce prix ne comprend pas :</w:t>
            </w:r>
          </w:p>
          <w:p>
            <w:pPr>
              <w:pStyle w:val="ListParagraph"/>
              <w:widowControl w:val="false"/>
              <w:numPr>
                <w:ilvl w:val="0"/>
                <w:numId w:val="17"/>
              </w:numPr>
              <w:rPr/>
            </w:pPr>
            <w:r>
              <w:rPr/>
              <w:t>Les moyens d’accès à la zone des travaux, rémunérés par le prix n°201</w:t>
            </w:r>
          </w:p>
          <w:p>
            <w:pPr>
              <w:pStyle w:val="Normal"/>
              <w:widowControl w:val="false"/>
              <w:rPr/>
            </w:pPr>
            <w:r>
              <w:rPr/>
            </w:r>
          </w:p>
          <w:p>
            <w:pPr>
              <w:pStyle w:val="Normal"/>
              <w:widowControl w:val="false"/>
              <w:rPr/>
            </w:pPr>
            <w:r>
              <w:rPr/>
              <w:t>Ce prix est réglé après réception du dispositif par le maitre d’œuvre</w:t>
            </w:r>
          </w:p>
          <w:p>
            <w:pPr>
              <w:pStyle w:val="Normal"/>
              <w:widowControl w:val="false"/>
              <w:spacing w:before="0" w:after="0"/>
              <w:jc w:val="left"/>
              <w:rPr>
                <w:bCs/>
              </w:rPr>
            </w:pPr>
            <w:r>
              <w:rPr>
                <w:bCs/>
              </w:rPr>
            </w:r>
          </w:p>
        </w:tc>
      </w:tr>
      <w:tr>
        <w:trPr>
          <w:trHeight w:val="1304" w:hRule="atLeast"/>
        </w:trPr>
        <w:tc>
          <w:tcPr>
            <w:tcW w:w="1259" w:type="dxa"/>
            <w:vMerge w:val="continue"/>
            <w:tcBorders>
              <w:top w:val="single" w:sz="8" w:space="0" w:color="000000"/>
              <w:left w:val="single" w:sz="8" w:space="0" w:color="000000"/>
              <w:bottom w:val="single" w:sz="8" w:space="0" w:color="000000"/>
              <w:right w:val="single" w:sz="8" w:space="0" w:color="000000"/>
            </w:tcBorders>
            <w:vAlign w:val="center"/>
          </w:tcPr>
          <w:p>
            <w:pPr>
              <w:pStyle w:val="Normal"/>
              <w:widowControl/>
              <w:suppressAutoHyphens w:val="true"/>
              <w:bidi w:val="0"/>
              <w:spacing w:before="0" w:after="120"/>
              <w:jc w:val="both"/>
              <w:rPr/>
            </w:pPr>
            <w:r>
              <w:rPr/>
            </w:r>
          </w:p>
        </w:tc>
        <w:tc>
          <w:tcPr>
            <w:tcW w:w="5221" w:type="dxa"/>
            <w:tcBorders>
              <w:top w:val="single" w:sz="8" w:space="0" w:color="000000"/>
              <w:left w:val="single" w:sz="8" w:space="0" w:color="000000"/>
              <w:bottom w:val="single" w:sz="8" w:space="0" w:color="000000"/>
              <w:right w:val="single" w:sz="8" w:space="0" w:color="000000"/>
            </w:tcBorders>
          </w:tcPr>
          <w:p>
            <w:pPr>
              <w:pStyle w:val="Normal"/>
              <w:widowControl w:val="false"/>
              <w:tabs>
                <w:tab w:val="clear" w:pos="708"/>
                <w:tab w:val="center" w:pos="4536" w:leader="none"/>
                <w:tab w:val="right" w:pos="9072" w:leader="none"/>
              </w:tabs>
              <w:rPr/>
            </w:pPr>
            <w:r>
              <w:rPr>
                <w:b/>
                <w:bCs/>
              </w:rPr>
              <w:t>Le forfait</w:t>
            </w:r>
            <w:r>
              <w:rPr>
                <w:b/>
                <w:bCs/>
                <w:vertAlign w:val="superscript"/>
              </w:rPr>
              <w:t xml:space="preserve"> </w:t>
            </w:r>
            <w:r>
              <w:rPr>
                <w:b/>
                <w:bCs/>
              </w:rPr>
              <w:t>(en lettres)</w:t>
            </w:r>
          </w:p>
          <w:p>
            <w:pPr>
              <w:pStyle w:val="Normal"/>
              <w:widowControl w:val="false"/>
              <w:spacing w:before="0" w:after="0"/>
              <w:jc w:val="left"/>
              <w:rPr>
                <w:b/>
                <w:bCs/>
              </w:rPr>
            </w:pPr>
            <w:r>
              <w:rPr>
                <w:b/>
                <w:bCs/>
              </w:rPr>
            </w:r>
          </w:p>
          <w:p>
            <w:pPr>
              <w:pStyle w:val="Normal"/>
              <w:widowControl w:val="false"/>
              <w:spacing w:before="0" w:after="0"/>
              <w:jc w:val="left"/>
              <w:rPr>
                <w:b/>
                <w:bCs/>
              </w:rPr>
            </w:pPr>
            <w:r>
              <w:rPr>
                <w:b/>
                <w:bCs/>
              </w:rPr>
            </w:r>
          </w:p>
          <w:p>
            <w:pPr>
              <w:pStyle w:val="Normal"/>
              <w:widowControl w:val="false"/>
              <w:spacing w:before="0" w:after="0"/>
              <w:jc w:val="left"/>
              <w:rPr>
                <w:b/>
                <w:bCs/>
              </w:rPr>
            </w:pPr>
            <w:r>
              <w:rPr>
                <w:b/>
                <w:bCs/>
              </w:rPr>
            </w:r>
          </w:p>
          <w:p>
            <w:pPr>
              <w:pStyle w:val="Normal"/>
              <w:widowControl w:val="false"/>
              <w:spacing w:before="0" w:after="0"/>
              <w:jc w:val="left"/>
              <w:rPr>
                <w:b/>
                <w:bCs/>
              </w:rPr>
            </w:pPr>
            <w:r>
              <w:rPr>
                <w:b/>
                <w:bCs/>
              </w:rPr>
            </w:r>
          </w:p>
          <w:p>
            <w:pPr>
              <w:pStyle w:val="Normal"/>
              <w:widowControl w:val="false"/>
              <w:spacing w:before="0" w:after="0"/>
              <w:jc w:val="left"/>
              <w:rPr>
                <w:b/>
                <w:bCs/>
              </w:rPr>
            </w:pPr>
            <w:r>
              <w:rPr>
                <w:b/>
                <w:bCs/>
              </w:rPr>
            </w:r>
          </w:p>
        </w:tc>
        <w:tc>
          <w:tcPr>
            <w:tcW w:w="2591" w:type="dxa"/>
            <w:tcBorders>
              <w:top w:val="single" w:sz="8" w:space="0" w:color="000000"/>
              <w:left w:val="single" w:sz="8" w:space="0" w:color="000000"/>
              <w:bottom w:val="single" w:sz="8" w:space="0" w:color="000000"/>
              <w:right w:val="single" w:sz="8" w:space="0" w:color="000000"/>
            </w:tcBorders>
          </w:tcPr>
          <w:p>
            <w:pPr>
              <w:pStyle w:val="Normal"/>
              <w:widowControl w:val="false"/>
              <w:tabs>
                <w:tab w:val="clear" w:pos="708"/>
                <w:tab w:val="center" w:pos="4536" w:leader="none"/>
                <w:tab w:val="right" w:pos="9072" w:leader="none"/>
              </w:tabs>
              <w:rPr>
                <w:b/>
                <w:bCs/>
              </w:rPr>
            </w:pPr>
            <w:r>
              <w:rPr>
                <w:b/>
                <w:bCs/>
              </w:rPr>
              <w:t>Le forfait (en chiffres)</w:t>
            </w:r>
          </w:p>
          <w:p>
            <w:pPr>
              <w:pStyle w:val="Normal"/>
              <w:widowControl w:val="false"/>
              <w:spacing w:before="0" w:after="0"/>
              <w:jc w:val="left"/>
              <w:rPr>
                <w:b/>
                <w:bCs/>
              </w:rPr>
            </w:pPr>
            <w:r>
              <w:rPr>
                <w:b/>
                <w:bCs/>
              </w:rPr>
            </w:r>
          </w:p>
        </w:tc>
      </w:tr>
      <w:tr>
        <w:trPr>
          <w:trHeight w:val="1304" w:hRule="atLeast"/>
        </w:trPr>
        <w:tc>
          <w:tcPr>
            <w:tcW w:w="1259" w:type="dxa"/>
            <w:vMerge w:val="restart"/>
            <w:tcBorders>
              <w:top w:val="single" w:sz="8" w:space="0" w:color="000000"/>
              <w:left w:val="single" w:sz="8" w:space="0" w:color="000000"/>
              <w:bottom w:val="single" w:sz="8" w:space="0" w:color="000000"/>
              <w:right w:val="single" w:sz="8" w:space="0" w:color="000000"/>
            </w:tcBorders>
          </w:tcPr>
          <w:p>
            <w:pPr>
              <w:pStyle w:val="Normal"/>
              <w:widowControl w:val="false"/>
              <w:spacing w:before="0" w:after="0"/>
              <w:jc w:val="left"/>
              <w:rPr>
                <w:b/>
              </w:rPr>
            </w:pPr>
            <w:r>
              <w:rPr>
                <w:b/>
              </w:rPr>
              <w:t>303</w:t>
            </w:r>
          </w:p>
        </w:tc>
        <w:tc>
          <w:tcPr>
            <w:tcW w:w="7812" w:type="dxa"/>
            <w:gridSpan w:val="2"/>
            <w:tcBorders>
              <w:top w:val="single" w:sz="8" w:space="0" w:color="000000"/>
              <w:left w:val="single" w:sz="8" w:space="0" w:color="000000"/>
              <w:bottom w:val="single" w:sz="8" w:space="0" w:color="000000"/>
              <w:right w:val="single" w:sz="8" w:space="0" w:color="000000"/>
            </w:tcBorders>
          </w:tcPr>
          <w:p>
            <w:pPr>
              <w:pStyle w:val="Normal"/>
              <w:widowControl w:val="false"/>
              <w:spacing w:before="0" w:after="0"/>
              <w:jc w:val="left"/>
              <w:rPr>
                <w:b/>
                <w:bCs/>
                <w:smallCaps/>
                <w:color w:val="339966"/>
                <w:spacing w:val="-6"/>
                <w:sz w:val="24"/>
                <w:szCs w:val="24"/>
              </w:rPr>
            </w:pPr>
            <w:r>
              <w:rPr>
                <w:b/>
                <w:bCs/>
                <w:smallCaps/>
                <w:color w:val="339966"/>
                <w:spacing w:val="-6"/>
                <w:sz w:val="24"/>
                <w:szCs w:val="24"/>
              </w:rPr>
              <w:t>Essais de résistance statique sur filet antichute</w:t>
            </w:r>
          </w:p>
          <w:p>
            <w:pPr>
              <w:pStyle w:val="Normal"/>
              <w:widowControl w:val="false"/>
              <w:spacing w:before="0" w:after="0"/>
              <w:jc w:val="left"/>
              <w:rPr>
                <w:b/>
                <w:bCs/>
              </w:rPr>
            </w:pPr>
            <w:r>
              <w:rPr>
                <w:b/>
                <w:bCs/>
              </w:rPr>
            </w:r>
          </w:p>
          <w:p>
            <w:pPr>
              <w:pStyle w:val="Normal"/>
              <w:widowControl w:val="false"/>
              <w:spacing w:before="0" w:after="0"/>
              <w:jc w:val="left"/>
              <w:rPr/>
            </w:pPr>
            <w:r>
              <w:rPr/>
              <w:t>Ce prix rémunère, au forfait, cinq (5) essais représentatifs de résistance statique réalisés en six (6) emplacements différents conformément à la norme NF-EN 1263.</w:t>
            </w:r>
          </w:p>
          <w:p>
            <w:pPr>
              <w:pStyle w:val="Normal"/>
              <w:widowControl w:val="false"/>
              <w:spacing w:before="0" w:after="0"/>
              <w:jc w:val="left"/>
              <w:rPr/>
            </w:pPr>
            <w:r>
              <w:rPr/>
            </w:r>
          </w:p>
          <w:p>
            <w:pPr>
              <w:pStyle w:val="Normal"/>
              <w:widowControl w:val="false"/>
              <w:spacing w:before="0" w:after="0"/>
              <w:jc w:val="left"/>
              <w:rPr/>
            </w:pPr>
            <w:r>
              <w:rPr/>
              <w:t>Il comprend notamment :</w:t>
            </w:r>
          </w:p>
          <w:p>
            <w:pPr>
              <w:pStyle w:val="Normal"/>
              <w:widowControl w:val="false"/>
              <w:numPr>
                <w:ilvl w:val="0"/>
                <w:numId w:val="17"/>
              </w:numPr>
              <w:spacing w:before="0" w:after="0"/>
              <w:jc w:val="left"/>
              <w:rPr>
                <w:bCs/>
              </w:rPr>
            </w:pPr>
            <w:r>
              <w:rPr>
                <w:bCs/>
              </w:rPr>
              <w:t>La réalisation de cinq (5) essais de résistance statique, prévus au CCTP, conformément à la norme NF-EN 1263</w:t>
            </w:r>
          </w:p>
          <w:p>
            <w:pPr>
              <w:pStyle w:val="Normal"/>
              <w:widowControl w:val="false"/>
              <w:tabs>
                <w:tab w:val="clear" w:pos="708"/>
                <w:tab w:val="center" w:pos="4536" w:leader="none"/>
                <w:tab w:val="right" w:pos="9072" w:leader="none"/>
              </w:tabs>
              <w:rPr>
                <w:b/>
                <w:bCs/>
              </w:rPr>
            </w:pPr>
            <w:r>
              <w:rPr>
                <w:b/>
                <w:bCs/>
              </w:rPr>
            </w:r>
          </w:p>
          <w:p>
            <w:pPr>
              <w:pStyle w:val="Normal"/>
              <w:widowControl w:val="false"/>
              <w:rPr/>
            </w:pPr>
            <w:r>
              <w:rPr/>
              <w:t>Ce prix ne comprend pas :</w:t>
            </w:r>
          </w:p>
          <w:p>
            <w:pPr>
              <w:pStyle w:val="ListParagraph"/>
              <w:widowControl w:val="false"/>
              <w:numPr>
                <w:ilvl w:val="0"/>
                <w:numId w:val="17"/>
              </w:numPr>
              <w:rPr/>
            </w:pPr>
            <w:r>
              <w:rPr/>
              <w:t>Les moyens d’accès à la zone des travaux, rémunérés par le prix n°201</w:t>
            </w:r>
          </w:p>
          <w:p>
            <w:pPr>
              <w:pStyle w:val="Normal"/>
              <w:widowControl w:val="false"/>
              <w:spacing w:before="0" w:after="0"/>
              <w:jc w:val="left"/>
              <w:rPr/>
            </w:pPr>
            <w:r>
              <w:rPr/>
            </w:r>
          </w:p>
          <w:p>
            <w:pPr>
              <w:pStyle w:val="Normal"/>
              <w:widowControl w:val="false"/>
              <w:spacing w:before="0" w:after="0"/>
              <w:jc w:val="left"/>
              <w:rPr/>
            </w:pPr>
            <w:r>
              <w:rPr/>
              <w:t>Ce prix est rémunéré après la fourniture des PV d’essai avec des résultats conformes.</w:t>
            </w:r>
          </w:p>
          <w:p>
            <w:pPr>
              <w:pStyle w:val="Normal"/>
              <w:widowControl w:val="false"/>
              <w:tabs>
                <w:tab w:val="clear" w:pos="708"/>
                <w:tab w:val="center" w:pos="4536" w:leader="none"/>
                <w:tab w:val="right" w:pos="9072" w:leader="none"/>
              </w:tabs>
              <w:spacing w:before="0" w:after="120"/>
              <w:rPr>
                <w:b/>
                <w:bCs/>
              </w:rPr>
            </w:pPr>
            <w:r>
              <w:rPr>
                <w:b/>
                <w:bCs/>
              </w:rPr>
            </w:r>
          </w:p>
        </w:tc>
      </w:tr>
      <w:tr>
        <w:trPr>
          <w:trHeight w:val="1304" w:hRule="atLeast"/>
        </w:trPr>
        <w:tc>
          <w:tcPr>
            <w:tcW w:w="1259" w:type="dxa"/>
            <w:vMerge w:val="continue"/>
            <w:tcBorders>
              <w:top w:val="single" w:sz="8" w:space="0" w:color="000000"/>
              <w:left w:val="single" w:sz="8" w:space="0" w:color="000000"/>
              <w:bottom w:val="single" w:sz="8" w:space="0" w:color="000000"/>
              <w:right w:val="single" w:sz="8" w:space="0" w:color="000000"/>
            </w:tcBorders>
            <w:vAlign w:val="center"/>
          </w:tcPr>
          <w:p>
            <w:pPr>
              <w:pStyle w:val="Normal"/>
              <w:widowControl/>
              <w:suppressAutoHyphens w:val="true"/>
              <w:bidi w:val="0"/>
              <w:spacing w:before="0" w:after="120"/>
              <w:jc w:val="both"/>
              <w:rPr/>
            </w:pPr>
            <w:r>
              <w:rPr/>
            </w:r>
          </w:p>
        </w:tc>
        <w:tc>
          <w:tcPr>
            <w:tcW w:w="5221" w:type="dxa"/>
            <w:tcBorders>
              <w:top w:val="single" w:sz="8" w:space="0" w:color="000000"/>
              <w:left w:val="single" w:sz="8" w:space="0" w:color="000000"/>
              <w:bottom w:val="single" w:sz="8" w:space="0" w:color="000000"/>
              <w:right w:val="single" w:sz="8" w:space="0" w:color="000000"/>
            </w:tcBorders>
          </w:tcPr>
          <w:p>
            <w:pPr>
              <w:pStyle w:val="Normal"/>
              <w:widowControl w:val="false"/>
              <w:spacing w:before="0" w:after="0"/>
              <w:jc w:val="left"/>
              <w:rPr>
                <w:b/>
                <w:bCs/>
              </w:rPr>
            </w:pPr>
            <w:r>
              <w:rPr>
                <w:b/>
                <w:bCs/>
              </w:rPr>
              <w:t>Le forfait (en lettres)</w:t>
            </w:r>
          </w:p>
          <w:p>
            <w:pPr>
              <w:pStyle w:val="Normal"/>
              <w:widowControl w:val="false"/>
              <w:spacing w:before="0" w:after="0"/>
              <w:jc w:val="left"/>
              <w:rPr>
                <w:b/>
                <w:bCs/>
              </w:rPr>
            </w:pPr>
            <w:r>
              <w:rPr>
                <w:b/>
                <w:bCs/>
              </w:rPr>
            </w:r>
          </w:p>
          <w:p>
            <w:pPr>
              <w:pStyle w:val="Normal"/>
              <w:widowControl w:val="false"/>
              <w:spacing w:before="0" w:after="0"/>
              <w:jc w:val="left"/>
              <w:rPr>
                <w:b/>
                <w:bCs/>
              </w:rPr>
            </w:pPr>
            <w:r>
              <w:rPr>
                <w:b/>
                <w:bCs/>
              </w:rPr>
            </w:r>
          </w:p>
          <w:p>
            <w:pPr>
              <w:pStyle w:val="Normal"/>
              <w:widowControl w:val="false"/>
              <w:spacing w:before="0" w:after="0"/>
              <w:jc w:val="left"/>
              <w:rPr>
                <w:b/>
                <w:bCs/>
              </w:rPr>
            </w:pPr>
            <w:r>
              <w:rPr>
                <w:b/>
                <w:bCs/>
              </w:rPr>
            </w:r>
          </w:p>
          <w:p>
            <w:pPr>
              <w:pStyle w:val="Normal"/>
              <w:widowControl w:val="false"/>
              <w:spacing w:before="0" w:after="0"/>
              <w:jc w:val="left"/>
              <w:rPr>
                <w:b/>
                <w:bCs/>
              </w:rPr>
            </w:pPr>
            <w:r>
              <w:rPr>
                <w:b/>
                <w:bCs/>
              </w:rPr>
            </w:r>
          </w:p>
          <w:p>
            <w:pPr>
              <w:pStyle w:val="Normal"/>
              <w:widowControl w:val="false"/>
              <w:spacing w:before="0" w:after="0"/>
              <w:jc w:val="left"/>
              <w:rPr>
                <w:b/>
                <w:bCs/>
              </w:rPr>
            </w:pPr>
            <w:r>
              <w:rPr>
                <w:b/>
                <w:bCs/>
              </w:rPr>
            </w:r>
          </w:p>
        </w:tc>
        <w:tc>
          <w:tcPr>
            <w:tcW w:w="2591" w:type="dxa"/>
            <w:tcBorders>
              <w:top w:val="single" w:sz="8" w:space="0" w:color="000000"/>
              <w:left w:val="single" w:sz="8" w:space="0" w:color="000000"/>
              <w:bottom w:val="single" w:sz="8" w:space="0" w:color="000000"/>
              <w:right w:val="single" w:sz="8" w:space="0" w:color="000000"/>
            </w:tcBorders>
          </w:tcPr>
          <w:p>
            <w:pPr>
              <w:pStyle w:val="Normal"/>
              <w:widowControl w:val="false"/>
              <w:tabs>
                <w:tab w:val="clear" w:pos="708"/>
                <w:tab w:val="center" w:pos="4536" w:leader="none"/>
                <w:tab w:val="right" w:pos="9072" w:leader="none"/>
              </w:tabs>
              <w:rPr>
                <w:b/>
                <w:bCs/>
              </w:rPr>
            </w:pPr>
            <w:r>
              <w:rPr>
                <w:b/>
                <w:bCs/>
              </w:rPr>
              <w:t>Le forfait (en chiffres)</w:t>
            </w:r>
          </w:p>
          <w:p>
            <w:pPr>
              <w:pStyle w:val="Normal"/>
              <w:widowControl w:val="false"/>
              <w:tabs>
                <w:tab w:val="clear" w:pos="708"/>
                <w:tab w:val="center" w:pos="4536" w:leader="none"/>
                <w:tab w:val="right" w:pos="9072" w:leader="none"/>
              </w:tabs>
              <w:spacing w:before="0" w:after="120"/>
              <w:rPr>
                <w:b/>
                <w:bCs/>
              </w:rPr>
            </w:pPr>
            <w:r>
              <w:rPr>
                <w:b/>
                <w:bCs/>
              </w:rPr>
            </w:r>
          </w:p>
        </w:tc>
      </w:tr>
      <w:tr>
        <w:trPr>
          <w:trHeight w:val="1304" w:hRule="atLeast"/>
        </w:trPr>
        <w:tc>
          <w:tcPr>
            <w:tcW w:w="1259" w:type="dxa"/>
            <w:vMerge w:val="restart"/>
            <w:tcBorders>
              <w:top w:val="single" w:sz="8" w:space="0" w:color="000000"/>
              <w:left w:val="single" w:sz="8" w:space="0" w:color="000000"/>
              <w:bottom w:val="single" w:sz="8" w:space="0" w:color="000000"/>
              <w:right w:val="single" w:sz="8" w:space="0" w:color="000000"/>
            </w:tcBorders>
          </w:tcPr>
          <w:p>
            <w:pPr>
              <w:pStyle w:val="Normal"/>
              <w:widowControl w:val="false"/>
              <w:spacing w:before="0" w:after="0"/>
              <w:jc w:val="left"/>
              <w:rPr>
                <w:b/>
              </w:rPr>
            </w:pPr>
            <w:r>
              <w:rPr>
                <w:b/>
              </w:rPr>
              <w:t>304</w:t>
            </w:r>
          </w:p>
        </w:tc>
        <w:tc>
          <w:tcPr>
            <w:tcW w:w="7812" w:type="dxa"/>
            <w:gridSpan w:val="2"/>
            <w:tcBorders>
              <w:top w:val="single" w:sz="8" w:space="0" w:color="000000"/>
              <w:left w:val="single" w:sz="8" w:space="0" w:color="000000"/>
              <w:bottom w:val="single" w:sz="8" w:space="0" w:color="000000"/>
              <w:right w:val="single" w:sz="8" w:space="0" w:color="000000"/>
            </w:tcBorders>
          </w:tcPr>
          <w:p>
            <w:pPr>
              <w:pStyle w:val="Normal"/>
              <w:widowControl w:val="false"/>
              <w:spacing w:before="0" w:after="0"/>
              <w:jc w:val="left"/>
              <w:rPr>
                <w:b/>
                <w:bCs/>
                <w:smallCaps/>
                <w:color w:val="339966"/>
                <w:spacing w:val="-6"/>
                <w:sz w:val="24"/>
                <w:szCs w:val="24"/>
              </w:rPr>
            </w:pPr>
            <w:r>
              <w:rPr>
                <w:b/>
                <w:bCs/>
                <w:smallCaps/>
                <w:color w:val="339966"/>
                <w:spacing w:val="-6"/>
                <w:sz w:val="24"/>
                <w:szCs w:val="24"/>
              </w:rPr>
              <w:t>Dépose du système de protection antichute</w:t>
            </w:r>
          </w:p>
          <w:p>
            <w:pPr>
              <w:pStyle w:val="Normal"/>
              <w:widowControl w:val="false"/>
              <w:spacing w:before="0" w:after="0"/>
              <w:jc w:val="left"/>
              <w:rPr>
                <w:b/>
                <w:bCs/>
                <w:smallCaps/>
                <w:color w:val="339966"/>
                <w:spacing w:val="-6"/>
                <w:sz w:val="24"/>
                <w:szCs w:val="24"/>
              </w:rPr>
            </w:pPr>
            <w:r>
              <w:rPr>
                <w:b/>
                <w:bCs/>
                <w:smallCaps/>
                <w:color w:val="339966"/>
                <w:spacing w:val="-6"/>
                <w:sz w:val="24"/>
                <w:szCs w:val="24"/>
              </w:rPr>
            </w:r>
          </w:p>
          <w:p>
            <w:pPr>
              <w:pStyle w:val="Normal"/>
              <w:widowControl w:val="false"/>
              <w:tabs>
                <w:tab w:val="clear" w:pos="708"/>
                <w:tab w:val="center" w:pos="4536" w:leader="none"/>
                <w:tab w:val="right" w:pos="9072" w:leader="none"/>
              </w:tabs>
              <w:rPr/>
            </w:pPr>
            <w:r>
              <w:rPr/>
              <w:t>Ce prix rémunère, au forfait, la dépose complète du système de protection antichute, conformément aux plans d’exécution et aux prescriptions du CCTP.</w:t>
            </w:r>
          </w:p>
          <w:p>
            <w:pPr>
              <w:pStyle w:val="Normal"/>
              <w:widowControl w:val="false"/>
              <w:rPr/>
            </w:pPr>
            <w:r>
              <w:rPr>
                <w:b/>
                <w:bCs/>
                <w:u w:val="single"/>
                <w:lang w:eastAsia="en-US"/>
              </w:rPr>
              <w:t>La dépose du système antichute provisoire se fera durant 01 nuit de coupure de l’A20</w:t>
            </w:r>
            <w:r>
              <w:rPr>
                <w:b/>
                <w:bCs/>
                <w:color w:val="7030A0"/>
                <w:u w:val="single"/>
                <w:lang w:eastAsia="en-US"/>
              </w:rPr>
              <w:t>.</w:t>
            </w:r>
          </w:p>
          <w:p>
            <w:pPr>
              <w:pStyle w:val="Normal"/>
              <w:widowControl w:val="false"/>
              <w:tabs>
                <w:tab w:val="clear" w:pos="708"/>
                <w:tab w:val="center" w:pos="4536" w:leader="none"/>
                <w:tab w:val="right" w:pos="9072" w:leader="none"/>
              </w:tabs>
              <w:rPr/>
            </w:pPr>
            <w:r>
              <w:rPr/>
            </w:r>
          </w:p>
          <w:p>
            <w:pPr>
              <w:pStyle w:val="Normal"/>
              <w:widowControl w:val="false"/>
              <w:tabs>
                <w:tab w:val="clear" w:pos="708"/>
                <w:tab w:val="center" w:pos="4536" w:leader="none"/>
                <w:tab w:val="right" w:pos="9072" w:leader="none"/>
              </w:tabs>
              <w:rPr/>
            </w:pPr>
            <w:r>
              <w:rPr/>
              <w:t>Ce prix comprend notamment</w:t>
            </w:r>
            <w:r>
              <w:rPr>
                <w:b/>
                <w:bCs/>
              </w:rPr>
              <w:t> :</w:t>
            </w:r>
          </w:p>
          <w:p>
            <w:pPr>
              <w:pStyle w:val="ListParagraph"/>
              <w:widowControl w:val="false"/>
              <w:numPr>
                <w:ilvl w:val="0"/>
                <w:numId w:val="17"/>
              </w:numPr>
              <w:rPr/>
            </w:pPr>
            <w:r>
              <w:rPr/>
              <w:t>La mise à disposition ou la fourniture, l'amenée et l'installation complète des matériels et du personnel nécessaires à cette opération ;</w:t>
            </w:r>
          </w:p>
          <w:p>
            <w:pPr>
              <w:pStyle w:val="ListParagraph"/>
              <w:widowControl w:val="false"/>
              <w:numPr>
                <w:ilvl w:val="0"/>
                <w:numId w:val="17"/>
              </w:numPr>
              <w:rPr/>
            </w:pPr>
            <w:r>
              <w:rPr/>
              <w:t>Les moyens d’accès ;</w:t>
            </w:r>
          </w:p>
          <w:p>
            <w:pPr>
              <w:pStyle w:val="ListParagraph"/>
              <w:widowControl w:val="false"/>
              <w:numPr>
                <w:ilvl w:val="0"/>
                <w:numId w:val="17"/>
              </w:numPr>
              <w:rPr/>
            </w:pPr>
            <w:r>
              <w:rPr/>
              <w:t>La protection de la zone de travaux ;</w:t>
            </w:r>
          </w:p>
          <w:p>
            <w:pPr>
              <w:pStyle w:val="ListParagraph"/>
              <w:widowControl w:val="false"/>
              <w:numPr>
                <w:ilvl w:val="0"/>
                <w:numId w:val="17"/>
              </w:numPr>
              <w:rPr/>
            </w:pPr>
            <w:r>
              <w:rPr>
                <w:b/>
                <w:bCs w:val="false"/>
              </w:rPr>
              <w:t>la mobilisation du nombre d’ateliers, d’équipes et de moyens matériels nécessaires, ainsi que l’adaptation des cadences d’exécution permettant de respecter les délais d’intervention impartis au marché et les contraintes d’exploitation de l’ouvrage</w:t>
            </w:r>
            <w:r>
              <w:rPr>
                <w:b/>
              </w:rPr>
              <w:t>,</w:t>
            </w:r>
          </w:p>
          <w:p>
            <w:pPr>
              <w:pStyle w:val="ListParagraph"/>
              <w:widowControl w:val="false"/>
              <w:numPr>
                <w:ilvl w:val="0"/>
                <w:numId w:val="17"/>
              </w:numPr>
              <w:rPr/>
            </w:pPr>
            <w:r>
              <w:rPr/>
              <w:t>L’éclairage des zones des travaux pour les différents ateliers de dépose,</w:t>
            </w:r>
          </w:p>
          <w:p>
            <w:pPr>
              <w:pStyle w:val="ListParagraph"/>
              <w:widowControl w:val="false"/>
              <w:numPr>
                <w:ilvl w:val="0"/>
                <w:numId w:val="17"/>
              </w:numPr>
              <w:rPr/>
            </w:pPr>
            <w:r>
              <w:rPr/>
              <w:t>La dépose soignée du dispositif antichute y compris démontage des ancrages, supports, câbles et accessoires ;</w:t>
            </w:r>
          </w:p>
          <w:p>
            <w:pPr>
              <w:pStyle w:val="ListParagraph"/>
              <w:widowControl w:val="false"/>
              <w:numPr>
                <w:ilvl w:val="0"/>
                <w:numId w:val="17"/>
              </w:numPr>
              <w:rPr/>
            </w:pPr>
            <w:r>
              <w:rPr/>
              <w:t xml:space="preserve">L’extraction des fixations et rebouchage des percements éventuels, </w:t>
            </w:r>
          </w:p>
          <w:p>
            <w:pPr>
              <w:pStyle w:val="ListParagraph"/>
              <w:widowControl w:val="false"/>
              <w:numPr>
                <w:ilvl w:val="0"/>
                <w:numId w:val="17"/>
              </w:numPr>
              <w:rPr/>
            </w:pPr>
            <w:r>
              <w:rPr/>
              <w:t>L’évacuation des éléments déposés ;</w:t>
            </w:r>
          </w:p>
          <w:p>
            <w:pPr>
              <w:pStyle w:val="ListParagraph"/>
              <w:widowControl w:val="false"/>
              <w:numPr>
                <w:ilvl w:val="0"/>
                <w:numId w:val="17"/>
              </w:numPr>
              <w:rPr/>
            </w:pPr>
            <w:r>
              <w:rPr/>
              <w:t>Le traitement des déchets ;</w:t>
            </w:r>
          </w:p>
          <w:p>
            <w:pPr>
              <w:pStyle w:val="ListParagraph"/>
              <w:widowControl w:val="false"/>
              <w:numPr>
                <w:ilvl w:val="0"/>
                <w:numId w:val="17"/>
              </w:numPr>
              <w:rPr/>
            </w:pPr>
            <w:r>
              <w:rPr/>
              <w:t>Le nettoyage après travaux ;</w:t>
            </w:r>
          </w:p>
          <w:p>
            <w:pPr>
              <w:pStyle w:val="Normal"/>
              <w:widowControl w:val="false"/>
              <w:numPr>
                <w:ilvl w:val="0"/>
                <w:numId w:val="17"/>
              </w:numPr>
              <w:rPr>
                <w:bCs/>
              </w:rPr>
            </w:pPr>
            <w:r>
              <w:rPr>
                <w:bCs/>
              </w:rPr>
              <w:t>La plus-value pour l’exécution des travaux le week-end et/ou de nuit ;</w:t>
            </w:r>
          </w:p>
          <w:p>
            <w:pPr>
              <w:pStyle w:val="Normal"/>
              <w:widowControl w:val="false"/>
              <w:rPr/>
            </w:pPr>
            <w:r>
              <w:rPr/>
            </w:r>
          </w:p>
          <w:p>
            <w:pPr>
              <w:pStyle w:val="Normal"/>
              <w:widowControl w:val="false"/>
              <w:rPr/>
            </w:pPr>
            <w:r>
              <w:rPr/>
              <w:t>Ce prix est réglé à 100% après dépose complète du dispositif de protection antichute et validation par le Maitre d’œuvre.</w:t>
            </w:r>
          </w:p>
          <w:p>
            <w:pPr>
              <w:pStyle w:val="Normal"/>
              <w:widowControl w:val="false"/>
              <w:tabs>
                <w:tab w:val="clear" w:pos="708"/>
                <w:tab w:val="center" w:pos="4536" w:leader="none"/>
                <w:tab w:val="right" w:pos="9072" w:leader="none"/>
              </w:tabs>
              <w:spacing w:before="0" w:after="120"/>
              <w:rPr/>
            </w:pPr>
            <w:r>
              <w:rPr/>
            </w:r>
          </w:p>
        </w:tc>
      </w:tr>
      <w:tr>
        <w:trPr>
          <w:trHeight w:val="1304" w:hRule="atLeast"/>
        </w:trPr>
        <w:tc>
          <w:tcPr>
            <w:tcW w:w="1259" w:type="dxa"/>
            <w:vMerge w:val="continue"/>
            <w:tcBorders>
              <w:top w:val="single" w:sz="8" w:space="0" w:color="000000"/>
              <w:left w:val="single" w:sz="8" w:space="0" w:color="000000"/>
              <w:bottom w:val="single" w:sz="8" w:space="0" w:color="000000"/>
              <w:right w:val="single" w:sz="8" w:space="0" w:color="000000"/>
            </w:tcBorders>
            <w:vAlign w:val="center"/>
          </w:tcPr>
          <w:p>
            <w:pPr>
              <w:pStyle w:val="Normal"/>
              <w:widowControl/>
              <w:suppressAutoHyphens w:val="true"/>
              <w:bidi w:val="0"/>
              <w:spacing w:before="0" w:after="120"/>
              <w:jc w:val="both"/>
              <w:rPr/>
            </w:pPr>
            <w:r>
              <w:rPr/>
            </w:r>
          </w:p>
        </w:tc>
        <w:tc>
          <w:tcPr>
            <w:tcW w:w="5221" w:type="dxa"/>
            <w:tcBorders>
              <w:top w:val="single" w:sz="8" w:space="0" w:color="000000"/>
              <w:left w:val="single" w:sz="8" w:space="0" w:color="000000"/>
              <w:bottom w:val="single" w:sz="8" w:space="0" w:color="000000"/>
              <w:right w:val="single" w:sz="8" w:space="0" w:color="000000"/>
            </w:tcBorders>
          </w:tcPr>
          <w:p>
            <w:pPr>
              <w:pStyle w:val="Normal"/>
              <w:widowControl w:val="false"/>
              <w:spacing w:before="0" w:after="0"/>
              <w:jc w:val="left"/>
              <w:rPr>
                <w:b/>
                <w:bCs/>
              </w:rPr>
            </w:pPr>
            <w:r>
              <w:rPr>
                <w:b/>
                <w:bCs/>
              </w:rPr>
              <w:t>Le forfait (en lettres)</w:t>
            </w:r>
          </w:p>
          <w:p>
            <w:pPr>
              <w:pStyle w:val="Normal"/>
              <w:widowControl w:val="false"/>
              <w:spacing w:before="0" w:after="0"/>
              <w:jc w:val="left"/>
              <w:rPr>
                <w:b/>
                <w:bCs/>
              </w:rPr>
            </w:pPr>
            <w:r>
              <w:rPr>
                <w:b/>
                <w:bCs/>
              </w:rPr>
            </w:r>
          </w:p>
          <w:p>
            <w:pPr>
              <w:pStyle w:val="Normal"/>
              <w:widowControl w:val="false"/>
              <w:spacing w:before="0" w:after="0"/>
              <w:jc w:val="left"/>
              <w:rPr>
                <w:b/>
                <w:bCs/>
              </w:rPr>
            </w:pPr>
            <w:r>
              <w:rPr>
                <w:b/>
                <w:bCs/>
              </w:rPr>
            </w:r>
          </w:p>
          <w:p>
            <w:pPr>
              <w:pStyle w:val="Normal"/>
              <w:widowControl w:val="false"/>
              <w:spacing w:before="0" w:after="0"/>
              <w:jc w:val="left"/>
              <w:rPr>
                <w:b/>
                <w:bCs/>
              </w:rPr>
            </w:pPr>
            <w:r>
              <w:rPr>
                <w:b/>
                <w:bCs/>
              </w:rPr>
            </w:r>
          </w:p>
          <w:p>
            <w:pPr>
              <w:pStyle w:val="Normal"/>
              <w:widowControl w:val="false"/>
              <w:spacing w:before="0" w:after="0"/>
              <w:jc w:val="left"/>
              <w:rPr>
                <w:b/>
                <w:bCs/>
              </w:rPr>
            </w:pPr>
            <w:r>
              <w:rPr>
                <w:b/>
                <w:bCs/>
              </w:rPr>
            </w:r>
          </w:p>
          <w:p>
            <w:pPr>
              <w:pStyle w:val="Normal"/>
              <w:widowControl w:val="false"/>
              <w:spacing w:before="0" w:after="0"/>
              <w:jc w:val="left"/>
              <w:rPr>
                <w:b/>
                <w:bCs/>
              </w:rPr>
            </w:pPr>
            <w:r>
              <w:rPr>
                <w:b/>
                <w:bCs/>
              </w:rPr>
            </w:r>
          </w:p>
        </w:tc>
        <w:tc>
          <w:tcPr>
            <w:tcW w:w="2591" w:type="dxa"/>
            <w:tcBorders>
              <w:top w:val="single" w:sz="8" w:space="0" w:color="000000"/>
              <w:left w:val="single" w:sz="8" w:space="0" w:color="000000"/>
              <w:bottom w:val="single" w:sz="8" w:space="0" w:color="000000"/>
              <w:right w:val="single" w:sz="8" w:space="0" w:color="000000"/>
            </w:tcBorders>
          </w:tcPr>
          <w:p>
            <w:pPr>
              <w:pStyle w:val="Normal"/>
              <w:widowControl w:val="false"/>
              <w:tabs>
                <w:tab w:val="clear" w:pos="708"/>
                <w:tab w:val="center" w:pos="4536" w:leader="none"/>
                <w:tab w:val="right" w:pos="9072" w:leader="none"/>
              </w:tabs>
              <w:rPr>
                <w:b/>
                <w:bCs/>
              </w:rPr>
            </w:pPr>
            <w:r>
              <w:rPr>
                <w:b/>
                <w:bCs/>
              </w:rPr>
              <w:t>Le forfait (en chiffres)</w:t>
            </w:r>
          </w:p>
          <w:p>
            <w:pPr>
              <w:pStyle w:val="Normal"/>
              <w:widowControl w:val="false"/>
              <w:tabs>
                <w:tab w:val="clear" w:pos="708"/>
                <w:tab w:val="center" w:pos="4536" w:leader="none"/>
                <w:tab w:val="right" w:pos="9072" w:leader="none"/>
              </w:tabs>
              <w:spacing w:before="0" w:after="120"/>
              <w:rPr>
                <w:b/>
                <w:bCs/>
              </w:rPr>
            </w:pPr>
            <w:r>
              <w:rPr>
                <w:b/>
                <w:bCs/>
              </w:rPr>
            </w:r>
          </w:p>
        </w:tc>
      </w:tr>
    </w:tbl>
    <w:p>
      <w:pPr>
        <w:pStyle w:val="Normal"/>
        <w:rPr/>
      </w:pPr>
      <w:r>
        <w:rPr/>
      </w:r>
    </w:p>
    <w:p>
      <w:pPr>
        <w:pStyle w:val="Normal"/>
        <w:spacing w:before="0" w:after="0"/>
        <w:jc w:val="left"/>
        <w:rPr/>
      </w:pPr>
      <w:r>
        <w:rPr/>
      </w:r>
      <w:r>
        <w:br w:type="page"/>
      </w:r>
    </w:p>
    <w:p>
      <w:pPr>
        <w:pStyle w:val="Heading1"/>
        <w:numPr>
          <w:ilvl w:val="0"/>
          <w:numId w:val="28"/>
        </w:numPr>
        <w:rPr/>
      </w:pPr>
      <w:bookmarkStart w:id="29" w:name="__RefHeading___Toc8878_2322646747"/>
      <w:bookmarkStart w:id="30" w:name="_Toc221868247"/>
      <w:bookmarkEnd w:id="29"/>
      <w:r>
        <w:rPr/>
        <w:t>Travaux de réparation sur poutres</w:t>
      </w:r>
      <w:bookmarkEnd w:id="30"/>
      <w:r>
        <w:rPr/>
        <w:t xml:space="preserve"> BUTONS</w:t>
      </w:r>
    </w:p>
    <w:tbl>
      <w:tblPr>
        <w:tblW w:w="9071" w:type="dxa"/>
        <w:jc w:val="left"/>
        <w:tblInd w:w="108" w:type="dxa"/>
        <w:tblLayout w:type="fixed"/>
        <w:tblCellMar>
          <w:top w:w="0" w:type="dxa"/>
          <w:left w:w="108" w:type="dxa"/>
          <w:bottom w:w="0" w:type="dxa"/>
          <w:right w:w="108" w:type="dxa"/>
        </w:tblCellMar>
      </w:tblPr>
      <w:tblGrid>
        <w:gridCol w:w="1259"/>
        <w:gridCol w:w="5221"/>
        <w:gridCol w:w="2591"/>
      </w:tblGrid>
      <w:tr>
        <w:trPr/>
        <w:tc>
          <w:tcPr>
            <w:tcW w:w="1259" w:type="dxa"/>
            <w:tcBorders>
              <w:top w:val="single" w:sz="8" w:space="0" w:color="000000"/>
              <w:left w:val="single" w:sz="8" w:space="0" w:color="000000"/>
              <w:bottom w:val="single" w:sz="8" w:space="0" w:color="000000"/>
              <w:right w:val="single" w:sz="8" w:space="0" w:color="000000"/>
            </w:tcBorders>
            <w:shd w:fill="009782" w:val="clear"/>
          </w:tcPr>
          <w:p>
            <w:pPr>
              <w:pStyle w:val="Normal"/>
              <w:widowControl w:val="false"/>
              <w:tabs>
                <w:tab w:val="clear" w:pos="708"/>
                <w:tab w:val="center" w:pos="4536" w:leader="none"/>
                <w:tab w:val="right" w:pos="9072" w:leader="none"/>
              </w:tabs>
              <w:spacing w:before="120" w:after="120"/>
              <w:jc w:val="center"/>
              <w:rPr>
                <w:b/>
                <w:bCs/>
                <w:i/>
                <w:color w:val="FFFFFF"/>
              </w:rPr>
            </w:pPr>
            <w:r>
              <w:rPr>
                <w:b/>
                <w:bCs/>
                <w:i/>
                <w:color w:val="FFFFFF"/>
              </w:rPr>
              <w:t>N° PRIX</w:t>
            </w:r>
          </w:p>
        </w:tc>
        <w:tc>
          <w:tcPr>
            <w:tcW w:w="7812" w:type="dxa"/>
            <w:gridSpan w:val="2"/>
            <w:tcBorders>
              <w:top w:val="single" w:sz="8" w:space="0" w:color="000000"/>
              <w:left w:val="single" w:sz="8" w:space="0" w:color="000000"/>
              <w:bottom w:val="single" w:sz="8" w:space="0" w:color="000000"/>
              <w:right w:val="single" w:sz="8" w:space="0" w:color="000000"/>
            </w:tcBorders>
            <w:shd w:fill="009782" w:val="clear"/>
            <w:vAlign w:val="center"/>
          </w:tcPr>
          <w:p>
            <w:pPr>
              <w:pStyle w:val="Normal"/>
              <w:widowControl w:val="false"/>
              <w:tabs>
                <w:tab w:val="clear" w:pos="708"/>
                <w:tab w:val="center" w:pos="4536" w:leader="none"/>
                <w:tab w:val="right" w:pos="9072" w:leader="none"/>
              </w:tabs>
              <w:spacing w:before="120" w:after="120"/>
              <w:jc w:val="center"/>
              <w:rPr>
                <w:b/>
                <w:bCs/>
                <w:i/>
                <w:color w:val="FFFFFF"/>
              </w:rPr>
            </w:pPr>
            <w:r>
              <w:rPr>
                <w:b/>
                <w:bCs/>
                <w:i/>
                <w:color w:val="FFFFFF"/>
              </w:rPr>
              <w:t>DESIGNATION DES OUVRAGES ET PRIX HORS TAXE</w:t>
            </w:r>
          </w:p>
        </w:tc>
      </w:tr>
      <w:tr>
        <w:trPr/>
        <w:tc>
          <w:tcPr>
            <w:tcW w:w="1259" w:type="dxa"/>
            <w:vMerge w:val="restart"/>
            <w:tcBorders>
              <w:top w:val="single" w:sz="8" w:space="0" w:color="000000"/>
              <w:left w:val="single" w:sz="8" w:space="0" w:color="000000"/>
              <w:bottom w:val="single" w:sz="8" w:space="0" w:color="000000"/>
              <w:right w:val="single" w:sz="8" w:space="0" w:color="000000"/>
            </w:tcBorders>
          </w:tcPr>
          <w:p>
            <w:pPr>
              <w:pStyle w:val="Normal"/>
              <w:widowControl w:val="false"/>
              <w:spacing w:before="0" w:after="120"/>
              <w:jc w:val="center"/>
              <w:rPr>
                <w:b/>
                <w:bCs/>
              </w:rPr>
            </w:pPr>
            <w:r>
              <w:rPr>
                <w:b/>
                <w:bCs/>
              </w:rPr>
              <w:t>401</w:t>
            </w:r>
          </w:p>
        </w:tc>
        <w:tc>
          <w:tcPr>
            <w:tcW w:w="7812" w:type="dxa"/>
            <w:gridSpan w:val="2"/>
            <w:tcBorders>
              <w:top w:val="single" w:sz="8" w:space="0" w:color="000000"/>
              <w:left w:val="single" w:sz="8" w:space="0" w:color="000000"/>
              <w:bottom w:val="single" w:sz="8" w:space="0" w:color="000000"/>
              <w:right w:val="single" w:sz="8" w:space="0" w:color="000000"/>
            </w:tcBorders>
            <w:vAlign w:val="center"/>
          </w:tcPr>
          <w:p>
            <w:pPr>
              <w:pStyle w:val="Subtitle"/>
              <w:widowControl w:val="false"/>
              <w:rPr>
                <w:rFonts w:ascii="Arial" w:hAnsi="Arial" w:eastAsia="Times New Roman" w:cs="Times New Roman"/>
                <w:b/>
                <w:bCs/>
                <w:smallCaps/>
                <w:color w:val="339966"/>
                <w:spacing w:val="-6"/>
                <w:sz w:val="24"/>
                <w:szCs w:val="24"/>
              </w:rPr>
            </w:pPr>
            <w:r>
              <w:rPr>
                <w:rFonts w:eastAsia="Times New Roman" w:cs="Times New Roman" w:ascii="Arial" w:hAnsi="Arial"/>
                <w:b/>
                <w:bCs/>
                <w:smallCaps/>
                <w:color w:val="339966"/>
                <w:spacing w:val="-6"/>
                <w:sz w:val="24"/>
                <w:szCs w:val="24"/>
              </w:rPr>
              <w:t xml:space="preserve">Amené et repli atelier de traitement des fissures </w:t>
            </w:r>
          </w:p>
          <w:p>
            <w:pPr>
              <w:pStyle w:val="Normal"/>
              <w:widowControl w:val="false"/>
              <w:tabs>
                <w:tab w:val="clear" w:pos="708"/>
                <w:tab w:val="left" w:pos="283" w:leader="none"/>
              </w:tabs>
              <w:spacing w:before="120" w:after="120"/>
              <w:rPr>
                <w:szCs w:val="22"/>
              </w:rPr>
            </w:pPr>
            <w:r>
              <w:rPr>
                <w:szCs w:val="22"/>
              </w:rPr>
              <w:t>Ce prix rémunère, au forfait, l’amené et repli du ou des ateliers de diagnostic et de réparation des fissures sur les poutres-butons, selon les prescriptions du CCTP.</w:t>
            </w:r>
          </w:p>
          <w:p>
            <w:pPr>
              <w:pStyle w:val="Normal"/>
              <w:widowControl w:val="false"/>
              <w:tabs>
                <w:tab w:val="clear" w:pos="708"/>
                <w:tab w:val="left" w:pos="283" w:leader="none"/>
              </w:tabs>
              <w:spacing w:before="120" w:after="120"/>
              <w:rPr>
                <w:szCs w:val="22"/>
              </w:rPr>
            </w:pPr>
            <w:r>
              <w:rPr>
                <w:szCs w:val="22"/>
              </w:rPr>
              <w:t>Ce prix tient compte des sujétions du CCTP.</w:t>
            </w:r>
          </w:p>
          <w:p>
            <w:pPr>
              <w:pStyle w:val="Normal"/>
              <w:widowControl w:val="false"/>
              <w:tabs>
                <w:tab w:val="clear" w:pos="708"/>
                <w:tab w:val="left" w:pos="283" w:leader="none"/>
              </w:tabs>
              <w:spacing w:before="120" w:after="120"/>
              <w:rPr>
                <w:szCs w:val="22"/>
              </w:rPr>
            </w:pPr>
            <w:r>
              <w:rPr>
                <w:szCs w:val="22"/>
              </w:rPr>
              <w:t>Ce prix comprend notamment :</w:t>
            </w:r>
          </w:p>
          <w:p>
            <w:pPr>
              <w:pStyle w:val="Normal"/>
              <w:widowControl w:val="false"/>
              <w:numPr>
                <w:ilvl w:val="0"/>
                <w:numId w:val="14"/>
              </w:numPr>
              <w:tabs>
                <w:tab w:val="clear" w:pos="708"/>
                <w:tab w:val="left" w:pos="283" w:leader="none"/>
              </w:tabs>
              <w:spacing w:before="120" w:after="120"/>
              <w:rPr>
                <w:szCs w:val="22"/>
              </w:rPr>
            </w:pPr>
            <w:r>
              <w:rPr>
                <w:szCs w:val="22"/>
              </w:rPr>
              <w:t>Les amenées-replis successives nécessaires en fonction des phases d’intervention sur l’A20 ;</w:t>
            </w:r>
          </w:p>
          <w:p>
            <w:pPr>
              <w:pStyle w:val="Normal"/>
              <w:widowControl w:val="false"/>
              <w:numPr>
                <w:ilvl w:val="0"/>
                <w:numId w:val="14"/>
              </w:numPr>
              <w:tabs>
                <w:tab w:val="clear" w:pos="708"/>
                <w:tab w:val="left" w:pos="283" w:leader="none"/>
              </w:tabs>
              <w:spacing w:before="120" w:after="120"/>
              <w:rPr>
                <w:szCs w:val="22"/>
              </w:rPr>
            </w:pPr>
            <w:r>
              <w:rPr>
                <w:szCs w:val="22"/>
              </w:rPr>
              <w:t>Le nombre d’ateliers nécessaire à la réalisation des travaux dans les contraintes de délais imposées par les autres pièces du marché.</w:t>
            </w:r>
          </w:p>
          <w:p>
            <w:pPr>
              <w:pStyle w:val="Normal"/>
              <w:widowControl w:val="false"/>
              <w:numPr>
                <w:ilvl w:val="0"/>
                <w:numId w:val="14"/>
              </w:numPr>
              <w:tabs>
                <w:tab w:val="clear" w:pos="708"/>
                <w:tab w:val="left" w:pos="283" w:leader="none"/>
              </w:tabs>
              <w:spacing w:before="120" w:after="120"/>
              <w:rPr>
                <w:szCs w:val="22"/>
              </w:rPr>
            </w:pPr>
            <w:r>
              <w:rPr>
                <w:szCs w:val="22"/>
              </w:rPr>
              <w:t>La mise à disposition ou la fourniture, l'amenée et l'installation complète, des matériels et matériaux nécessaires à cette opération ;</w:t>
            </w:r>
          </w:p>
          <w:p>
            <w:pPr>
              <w:pStyle w:val="Normal"/>
              <w:widowControl w:val="false"/>
              <w:numPr>
                <w:ilvl w:val="0"/>
                <w:numId w:val="14"/>
              </w:numPr>
              <w:tabs>
                <w:tab w:val="clear" w:pos="708"/>
                <w:tab w:val="left" w:pos="283" w:leader="none"/>
              </w:tabs>
              <w:spacing w:before="120" w:after="120"/>
              <w:rPr>
                <w:szCs w:val="22"/>
              </w:rPr>
            </w:pPr>
            <w:r>
              <w:rPr>
                <w:szCs w:val="22"/>
              </w:rPr>
              <w:t>La mobilisation du personnel qualifié nécessaire à l’intervention,</w:t>
            </w:r>
          </w:p>
          <w:p>
            <w:pPr>
              <w:pStyle w:val="Normal"/>
              <w:widowControl w:val="false"/>
              <w:numPr>
                <w:ilvl w:val="0"/>
                <w:numId w:val="14"/>
              </w:numPr>
              <w:tabs>
                <w:tab w:val="clear" w:pos="708"/>
                <w:tab w:val="left" w:pos="283" w:leader="none"/>
              </w:tabs>
              <w:spacing w:before="120" w:after="120"/>
              <w:rPr>
                <w:szCs w:val="22"/>
              </w:rPr>
            </w:pPr>
            <w:r>
              <w:rPr>
                <w:szCs w:val="22"/>
              </w:rPr>
              <w:t>Les plus-values pour les interventions de nuit et de week-end,</w:t>
            </w:r>
          </w:p>
          <w:p>
            <w:pPr>
              <w:pStyle w:val="Normal"/>
              <w:widowControl w:val="false"/>
              <w:numPr>
                <w:ilvl w:val="0"/>
                <w:numId w:val="14"/>
              </w:numPr>
              <w:rPr>
                <w:szCs w:val="22"/>
              </w:rPr>
            </w:pPr>
            <w:r>
              <w:rPr>
                <w:szCs w:val="22"/>
              </w:rPr>
              <w:t>Le relevé détaillé préalable des fissures affectant l’ensemble des poutres-butons après purge des verrières, comprenant une analyse de leur largeur, orientation et localisation ;</w:t>
            </w:r>
          </w:p>
          <w:p>
            <w:pPr>
              <w:pStyle w:val="Normal"/>
              <w:widowControl w:val="false"/>
              <w:numPr>
                <w:ilvl w:val="0"/>
                <w:numId w:val="14"/>
              </w:numPr>
              <w:rPr>
                <w:lang w:eastAsia="en-US"/>
              </w:rPr>
            </w:pPr>
            <w:r>
              <w:rPr>
                <w:lang w:eastAsia="en-US"/>
              </w:rPr>
              <w:t>Vérification de la fissure sur les points sensibles, notamment les appuis, les jonctions et les zones soumises aux efforts de flexion maximale.</w:t>
            </w:r>
          </w:p>
          <w:p>
            <w:pPr>
              <w:pStyle w:val="Normal"/>
              <w:widowControl w:val="false"/>
              <w:numPr>
                <w:ilvl w:val="0"/>
                <w:numId w:val="14"/>
              </w:numPr>
              <w:tabs>
                <w:tab w:val="clear" w:pos="708"/>
                <w:tab w:val="left" w:pos="283" w:leader="none"/>
              </w:tabs>
              <w:spacing w:before="120" w:after="120"/>
              <w:rPr>
                <w:bCs/>
              </w:rPr>
            </w:pPr>
            <w:r>
              <w:rPr>
                <w:bCs/>
              </w:rPr>
              <w:t>L’ensemble des contraintes techniques et sujétions inhérentes à cette opération.</w:t>
            </w:r>
          </w:p>
          <w:p>
            <w:pPr>
              <w:pStyle w:val="Normal"/>
              <w:widowControl w:val="false"/>
              <w:rPr/>
            </w:pPr>
            <w:r>
              <w:rPr/>
              <w:t>Ce prix ne comprend pas :</w:t>
            </w:r>
          </w:p>
          <w:p>
            <w:pPr>
              <w:pStyle w:val="ListParagraph"/>
              <w:widowControl w:val="false"/>
              <w:numPr>
                <w:ilvl w:val="0"/>
                <w:numId w:val="17"/>
              </w:numPr>
              <w:rPr/>
            </w:pPr>
            <w:r>
              <w:rPr/>
              <w:t>Les moyens d’accès à la zone des travaux, rémunérés par le prix n°201</w:t>
            </w:r>
          </w:p>
          <w:p>
            <w:pPr>
              <w:pStyle w:val="Normal"/>
              <w:widowControl w:val="false"/>
              <w:tabs>
                <w:tab w:val="clear" w:pos="708"/>
                <w:tab w:val="left" w:pos="283" w:leader="none"/>
              </w:tabs>
              <w:spacing w:before="120" w:after="120"/>
              <w:rPr>
                <w:szCs w:val="22"/>
              </w:rPr>
            </w:pPr>
            <w:r>
              <w:rPr>
                <w:szCs w:val="22"/>
              </w:rPr>
            </w:r>
          </w:p>
          <w:p>
            <w:pPr>
              <w:pStyle w:val="Normal"/>
              <w:widowControl w:val="false"/>
              <w:tabs>
                <w:tab w:val="clear" w:pos="708"/>
                <w:tab w:val="left" w:pos="283" w:leader="none"/>
              </w:tabs>
              <w:spacing w:before="120" w:after="120"/>
              <w:rPr>
                <w:szCs w:val="22"/>
              </w:rPr>
            </w:pPr>
            <w:r>
              <w:rPr>
                <w:szCs w:val="22"/>
              </w:rPr>
              <w:t>La quantité de fissures à traiter fera l’objet d’un constat contradictoire préalable avec la maîtrise d’œuvre.</w:t>
            </w:r>
          </w:p>
          <w:p>
            <w:pPr>
              <w:pStyle w:val="Normal"/>
              <w:widowControl w:val="false"/>
              <w:rPr/>
            </w:pPr>
            <w:r>
              <w:rPr/>
              <w:t>Ce prix est scindé en deux fractions :</w:t>
            </w:r>
          </w:p>
          <w:p>
            <w:pPr>
              <w:pStyle w:val="Normal"/>
              <w:widowControl w:val="false"/>
              <w:numPr>
                <w:ilvl w:val="0"/>
                <w:numId w:val="18"/>
              </w:numPr>
              <w:overflowPunct w:val="false"/>
              <w:spacing w:before="120" w:after="120"/>
              <w:textAlignment w:val="baseline"/>
              <w:rPr/>
            </w:pPr>
            <w:r>
              <w:rPr/>
              <w:t>50 % après la première amenée lors des interventions en intrados,</w:t>
            </w:r>
          </w:p>
          <w:p>
            <w:pPr>
              <w:pStyle w:val="ListParagraph"/>
              <w:widowControl w:val="false"/>
              <w:numPr>
                <w:ilvl w:val="0"/>
                <w:numId w:val="18"/>
              </w:numPr>
              <w:rPr/>
            </w:pPr>
            <w:r>
              <w:rPr/>
              <w:t xml:space="preserve">50 % </w:t>
            </w:r>
            <w:r>
              <w:rPr>
                <w:szCs w:val="22"/>
              </w:rPr>
              <w:t>après repli définitif à l’issue des travaux de réparation des bétons fissurés.</w:t>
            </w:r>
          </w:p>
          <w:p>
            <w:pPr>
              <w:pStyle w:val="Normal"/>
              <w:widowControl w:val="false"/>
              <w:tabs>
                <w:tab w:val="clear" w:pos="708"/>
                <w:tab w:val="left" w:pos="283" w:leader="none"/>
              </w:tabs>
              <w:spacing w:before="120" w:after="120"/>
              <w:rPr>
                <w:szCs w:val="22"/>
              </w:rPr>
            </w:pPr>
            <w:r>
              <w:rPr>
                <w:szCs w:val="22"/>
              </w:rPr>
            </w:r>
          </w:p>
        </w:tc>
      </w:tr>
      <w:tr>
        <w:trPr>
          <w:trHeight w:val="973" w:hRule="atLeast"/>
        </w:trPr>
        <w:tc>
          <w:tcPr>
            <w:tcW w:w="1259" w:type="dxa"/>
            <w:vMerge w:val="continue"/>
            <w:tcBorders>
              <w:top w:val="single" w:sz="8" w:space="0" w:color="000000"/>
              <w:left w:val="single" w:sz="8" w:space="0" w:color="000000"/>
              <w:bottom w:val="single" w:sz="8" w:space="0" w:color="000000"/>
              <w:right w:val="single" w:sz="8" w:space="0" w:color="000000"/>
            </w:tcBorders>
            <w:vAlign w:val="center"/>
          </w:tcPr>
          <w:p>
            <w:pPr>
              <w:pStyle w:val="Normal"/>
              <w:widowControl/>
              <w:suppressAutoHyphens w:val="true"/>
              <w:bidi w:val="0"/>
              <w:spacing w:before="0" w:after="120"/>
              <w:jc w:val="both"/>
              <w:rPr/>
            </w:pPr>
            <w:r>
              <w:rPr/>
            </w:r>
          </w:p>
        </w:tc>
        <w:tc>
          <w:tcPr>
            <w:tcW w:w="5221" w:type="dxa"/>
            <w:tcBorders>
              <w:top w:val="single" w:sz="8" w:space="0" w:color="000000"/>
              <w:left w:val="single" w:sz="8" w:space="0" w:color="000000"/>
              <w:bottom w:val="single" w:sz="8" w:space="0" w:color="000000"/>
              <w:right w:val="single" w:sz="8" w:space="0" w:color="000000"/>
            </w:tcBorders>
          </w:tcPr>
          <w:p>
            <w:pPr>
              <w:pStyle w:val="Normal"/>
              <w:widowControl w:val="false"/>
              <w:tabs>
                <w:tab w:val="clear" w:pos="708"/>
                <w:tab w:val="center" w:pos="4536" w:leader="none"/>
                <w:tab w:val="right" w:pos="9072" w:leader="none"/>
              </w:tabs>
              <w:rPr/>
            </w:pPr>
            <w:r>
              <w:rPr>
                <w:b/>
                <w:bCs/>
              </w:rPr>
              <w:t>Le forfait</w:t>
            </w:r>
            <w:r>
              <w:rPr>
                <w:b/>
                <w:bCs/>
                <w:vertAlign w:val="superscript"/>
              </w:rPr>
              <w:t xml:space="preserve"> </w:t>
            </w:r>
            <w:r>
              <w:rPr>
                <w:b/>
                <w:bCs/>
              </w:rPr>
              <w:t>(en lettres)</w:t>
            </w:r>
          </w:p>
          <w:p>
            <w:pPr>
              <w:pStyle w:val="Normal"/>
              <w:widowControl w:val="false"/>
              <w:tabs>
                <w:tab w:val="clear" w:pos="708"/>
                <w:tab w:val="center" w:pos="4536" w:leader="none"/>
                <w:tab w:val="right" w:pos="9072" w:leader="none"/>
              </w:tabs>
              <w:rPr>
                <w:b/>
                <w:bCs/>
              </w:rPr>
            </w:pPr>
            <w:r>
              <w:rPr>
                <w:b/>
                <w:bCs/>
              </w:rPr>
            </w:r>
          </w:p>
          <w:p>
            <w:pPr>
              <w:pStyle w:val="Normal"/>
              <w:widowControl w:val="false"/>
              <w:tabs>
                <w:tab w:val="clear" w:pos="708"/>
                <w:tab w:val="center" w:pos="4536" w:leader="none"/>
                <w:tab w:val="right" w:pos="9072" w:leader="none"/>
              </w:tabs>
              <w:spacing w:before="0" w:after="120"/>
              <w:rPr>
                <w:b/>
                <w:bCs/>
              </w:rPr>
            </w:pPr>
            <w:r>
              <w:rPr>
                <w:b/>
                <w:bCs/>
              </w:rPr>
            </w:r>
          </w:p>
        </w:tc>
        <w:tc>
          <w:tcPr>
            <w:tcW w:w="2591" w:type="dxa"/>
            <w:tcBorders>
              <w:top w:val="single" w:sz="8" w:space="0" w:color="000000"/>
              <w:left w:val="single" w:sz="8" w:space="0" w:color="000000"/>
              <w:bottom w:val="single" w:sz="8" w:space="0" w:color="000000"/>
              <w:right w:val="single" w:sz="8" w:space="0" w:color="000000"/>
            </w:tcBorders>
          </w:tcPr>
          <w:p>
            <w:pPr>
              <w:pStyle w:val="Normal"/>
              <w:widowControl w:val="false"/>
              <w:tabs>
                <w:tab w:val="clear" w:pos="708"/>
                <w:tab w:val="center" w:pos="4536" w:leader="none"/>
                <w:tab w:val="right" w:pos="9072" w:leader="none"/>
              </w:tabs>
              <w:rPr>
                <w:b/>
                <w:bCs/>
              </w:rPr>
            </w:pPr>
            <w:r>
              <w:rPr>
                <w:b/>
                <w:bCs/>
              </w:rPr>
              <w:t>Le forfait (en chiffres)</w:t>
            </w:r>
          </w:p>
          <w:p>
            <w:pPr>
              <w:pStyle w:val="Normal"/>
              <w:widowControl w:val="false"/>
              <w:tabs>
                <w:tab w:val="clear" w:pos="708"/>
                <w:tab w:val="center" w:pos="4536" w:leader="none"/>
                <w:tab w:val="right" w:pos="9072" w:leader="none"/>
              </w:tabs>
              <w:spacing w:before="0" w:after="120"/>
              <w:rPr>
                <w:b/>
                <w:bCs/>
              </w:rPr>
            </w:pPr>
            <w:r>
              <w:rPr>
                <w:b/>
                <w:bCs/>
              </w:rPr>
            </w:r>
          </w:p>
        </w:tc>
      </w:tr>
    </w:tbl>
    <w:p>
      <w:pPr>
        <w:sectPr>
          <w:headerReference w:type="default" r:id="rId14"/>
          <w:headerReference w:type="first" r:id="rId15"/>
          <w:footerReference w:type="default" r:id="rId16"/>
          <w:footerReference w:type="first" r:id="rId17"/>
          <w:type w:val="nextPage"/>
          <w:pgSz w:w="11906" w:h="16838"/>
          <w:pgMar w:left="1417" w:right="1417" w:gutter="0" w:header="708" w:top="1985" w:footer="292" w:bottom="1560"/>
          <w:pgNumType w:fmt="decimal"/>
          <w:formProt w:val="false"/>
          <w:textDirection w:val="lrTb"/>
          <w:docGrid w:type="default" w:linePitch="360" w:charSpace="16384"/>
        </w:sectPr>
      </w:pPr>
    </w:p>
    <w:tbl>
      <w:tblPr>
        <w:tblW w:w="9071" w:type="dxa"/>
        <w:jc w:val="left"/>
        <w:tblInd w:w="108" w:type="dxa"/>
        <w:tblLayout w:type="fixed"/>
        <w:tblCellMar>
          <w:top w:w="0" w:type="dxa"/>
          <w:left w:w="108" w:type="dxa"/>
          <w:bottom w:w="0" w:type="dxa"/>
          <w:right w:w="108" w:type="dxa"/>
        </w:tblCellMar>
      </w:tblPr>
      <w:tblGrid>
        <w:gridCol w:w="1259"/>
        <w:gridCol w:w="5221"/>
        <w:gridCol w:w="2591"/>
      </w:tblGrid>
      <w:tr>
        <w:trPr/>
        <w:tc>
          <w:tcPr>
            <w:tcW w:w="1259" w:type="dxa"/>
            <w:tcBorders>
              <w:top w:val="single" w:sz="8" w:space="0" w:color="000000"/>
              <w:left w:val="single" w:sz="8" w:space="0" w:color="000000"/>
              <w:bottom w:val="single" w:sz="8" w:space="0" w:color="000000"/>
              <w:right w:val="single" w:sz="8" w:space="0" w:color="000000"/>
            </w:tcBorders>
            <w:shd w:fill="009782" w:val="clear"/>
          </w:tcPr>
          <w:p>
            <w:pPr>
              <w:pStyle w:val="Normal"/>
              <w:widowControl w:val="false"/>
              <w:tabs>
                <w:tab w:val="clear" w:pos="708"/>
                <w:tab w:val="center" w:pos="4536" w:leader="none"/>
                <w:tab w:val="right" w:pos="9072" w:leader="none"/>
              </w:tabs>
              <w:spacing w:before="120" w:after="120"/>
              <w:jc w:val="center"/>
              <w:rPr>
                <w:b/>
                <w:bCs/>
                <w:i/>
                <w:color w:val="FFFFFF"/>
              </w:rPr>
            </w:pPr>
            <w:r>
              <w:rPr>
                <w:b/>
                <w:bCs/>
                <w:i/>
                <w:color w:val="FFFFFF"/>
              </w:rPr>
              <w:t>N° PRIX</w:t>
            </w:r>
          </w:p>
        </w:tc>
        <w:tc>
          <w:tcPr>
            <w:tcW w:w="7812" w:type="dxa"/>
            <w:gridSpan w:val="2"/>
            <w:tcBorders>
              <w:top w:val="single" w:sz="8" w:space="0" w:color="000000"/>
              <w:left w:val="single" w:sz="8" w:space="0" w:color="000000"/>
              <w:bottom w:val="single" w:sz="8" w:space="0" w:color="000000"/>
              <w:right w:val="single" w:sz="8" w:space="0" w:color="000000"/>
            </w:tcBorders>
            <w:shd w:fill="009782" w:val="clear"/>
            <w:vAlign w:val="center"/>
          </w:tcPr>
          <w:p>
            <w:pPr>
              <w:pStyle w:val="Normal"/>
              <w:widowControl w:val="false"/>
              <w:tabs>
                <w:tab w:val="clear" w:pos="708"/>
                <w:tab w:val="center" w:pos="4536" w:leader="none"/>
                <w:tab w:val="right" w:pos="9072" w:leader="none"/>
              </w:tabs>
              <w:spacing w:before="120" w:after="120"/>
              <w:jc w:val="center"/>
              <w:rPr>
                <w:b/>
                <w:bCs/>
                <w:i/>
                <w:color w:val="FFFFFF"/>
              </w:rPr>
            </w:pPr>
            <w:r>
              <w:rPr>
                <w:b/>
                <w:bCs/>
                <w:i/>
                <w:color w:val="FFFFFF"/>
              </w:rPr>
              <w:t>DESIGNATION DES OUVRAGES ET PRIX HORS TAXE</w:t>
            </w:r>
          </w:p>
        </w:tc>
      </w:tr>
      <w:tr>
        <w:trPr/>
        <w:tc>
          <w:tcPr>
            <w:tcW w:w="1259" w:type="dxa"/>
            <w:vMerge w:val="restart"/>
            <w:tcBorders>
              <w:top w:val="single" w:sz="8" w:space="0" w:color="000000"/>
              <w:left w:val="single" w:sz="8" w:space="0" w:color="000000"/>
              <w:bottom w:val="single" w:sz="8" w:space="0" w:color="000000"/>
              <w:right w:val="single" w:sz="8" w:space="0" w:color="000000"/>
            </w:tcBorders>
          </w:tcPr>
          <w:p>
            <w:pPr>
              <w:pStyle w:val="Normal"/>
              <w:widowControl w:val="false"/>
              <w:spacing w:before="0" w:after="120"/>
              <w:jc w:val="center"/>
              <w:rPr>
                <w:b/>
                <w:bCs/>
              </w:rPr>
            </w:pPr>
            <w:r>
              <w:rPr>
                <w:b/>
                <w:bCs/>
              </w:rPr>
              <w:t>402</w:t>
            </w:r>
          </w:p>
        </w:tc>
        <w:tc>
          <w:tcPr>
            <w:tcW w:w="7812" w:type="dxa"/>
            <w:gridSpan w:val="2"/>
            <w:tcBorders>
              <w:top w:val="single" w:sz="8" w:space="0" w:color="000000"/>
              <w:left w:val="single" w:sz="8" w:space="0" w:color="000000"/>
              <w:bottom w:val="single" w:sz="8" w:space="0" w:color="000000"/>
              <w:right w:val="single" w:sz="8" w:space="0" w:color="000000"/>
            </w:tcBorders>
            <w:vAlign w:val="center"/>
          </w:tcPr>
          <w:p>
            <w:pPr>
              <w:pStyle w:val="Subtitle"/>
              <w:widowControl w:val="false"/>
              <w:rPr>
                <w:rFonts w:ascii="Arial" w:hAnsi="Arial" w:eastAsia="Times New Roman" w:cs="Times New Roman"/>
                <w:b/>
                <w:bCs/>
                <w:smallCaps/>
                <w:color w:val="339966"/>
                <w:spacing w:val="-6"/>
                <w:sz w:val="24"/>
                <w:szCs w:val="24"/>
              </w:rPr>
            </w:pPr>
            <w:bookmarkStart w:id="35" w:name="_Toc166576663"/>
            <w:r>
              <w:rPr>
                <w:rFonts w:eastAsia="Times New Roman" w:cs="Times New Roman" w:ascii="Arial" w:hAnsi="Arial"/>
                <w:b/>
                <w:bCs/>
                <w:smallCaps/>
                <w:color w:val="339966"/>
                <w:spacing w:val="-6"/>
                <w:sz w:val="24"/>
                <w:szCs w:val="24"/>
              </w:rPr>
              <w:t>Traitement des fissures des poutres par injection</w:t>
            </w:r>
            <w:bookmarkEnd w:id="35"/>
          </w:p>
          <w:p>
            <w:pPr>
              <w:pStyle w:val="Normal"/>
              <w:widowControl w:val="false"/>
              <w:tabs>
                <w:tab w:val="clear" w:pos="708"/>
                <w:tab w:val="left" w:pos="283" w:leader="none"/>
              </w:tabs>
              <w:spacing w:before="120" w:after="120"/>
              <w:rPr>
                <w:szCs w:val="22"/>
              </w:rPr>
            </w:pPr>
            <w:r>
              <w:rPr>
                <w:szCs w:val="22"/>
              </w:rPr>
              <w:t>Ce prix rémunère, au mètre linéaire de fissures, la fourniture et la mise en œuvre du traitement de fissures, dont l’ouverture est supérieure à 0,3 mm, par injection à la résine époxydique des fissures sur les poutres, que ce soit sur les âmes, et les talons, selon les prescriptions du CCTP.</w:t>
            </w:r>
          </w:p>
          <w:p>
            <w:pPr>
              <w:pStyle w:val="Normal"/>
              <w:widowControl w:val="false"/>
              <w:tabs>
                <w:tab w:val="clear" w:pos="708"/>
                <w:tab w:val="left" w:pos="283" w:leader="none"/>
              </w:tabs>
              <w:spacing w:before="120" w:after="120"/>
              <w:rPr>
                <w:szCs w:val="22"/>
              </w:rPr>
            </w:pPr>
            <w:r>
              <w:rPr>
                <w:szCs w:val="22"/>
              </w:rPr>
              <w:t>Ce prix tient compte des sujétions du CCTP.</w:t>
            </w:r>
          </w:p>
          <w:p>
            <w:pPr>
              <w:pStyle w:val="Normal"/>
              <w:widowControl w:val="false"/>
              <w:tabs>
                <w:tab w:val="clear" w:pos="708"/>
                <w:tab w:val="left" w:pos="283" w:leader="none"/>
              </w:tabs>
              <w:spacing w:before="120" w:after="120"/>
              <w:rPr>
                <w:szCs w:val="22"/>
              </w:rPr>
            </w:pPr>
            <w:r>
              <w:rPr>
                <w:szCs w:val="22"/>
              </w:rPr>
              <w:t>Ce prix comprend notamment :</w:t>
            </w:r>
          </w:p>
          <w:p>
            <w:pPr>
              <w:pStyle w:val="Normal"/>
              <w:widowControl w:val="false"/>
              <w:numPr>
                <w:ilvl w:val="0"/>
                <w:numId w:val="14"/>
              </w:numPr>
              <w:tabs>
                <w:tab w:val="clear" w:pos="708"/>
                <w:tab w:val="left" w:pos="283" w:leader="none"/>
              </w:tabs>
              <w:spacing w:before="120" w:after="120"/>
              <w:ind w:hanging="357" w:left="714" w:right="0"/>
              <w:rPr>
                <w:szCs w:val="22"/>
              </w:rPr>
            </w:pPr>
            <w:r>
              <w:rPr>
                <w:szCs w:val="22"/>
              </w:rPr>
              <w:t>La mise à disposition ou la fourniture, l'amenée et l'installation complète, des matériels et matériaux nécessaires à cette opération ;</w:t>
            </w:r>
          </w:p>
          <w:p>
            <w:pPr>
              <w:pStyle w:val="Normal"/>
              <w:widowControl w:val="false"/>
              <w:numPr>
                <w:ilvl w:val="0"/>
                <w:numId w:val="14"/>
              </w:numPr>
              <w:tabs>
                <w:tab w:val="clear" w:pos="708"/>
                <w:tab w:val="left" w:pos="283" w:leader="none"/>
              </w:tabs>
              <w:spacing w:before="120" w:after="120"/>
              <w:ind w:hanging="357" w:left="714" w:right="0"/>
              <w:rPr>
                <w:szCs w:val="22"/>
              </w:rPr>
            </w:pPr>
            <w:r>
              <w:rPr>
                <w:szCs w:val="22"/>
              </w:rPr>
              <w:t>Le nettoyage des fissures par brossage ou soufflage à l’air déshumidifié et déshuilé ;</w:t>
            </w:r>
          </w:p>
          <w:p>
            <w:pPr>
              <w:pStyle w:val="Normal"/>
              <w:widowControl w:val="false"/>
              <w:numPr>
                <w:ilvl w:val="0"/>
                <w:numId w:val="14"/>
              </w:numPr>
              <w:tabs>
                <w:tab w:val="clear" w:pos="708"/>
                <w:tab w:val="left" w:pos="283" w:leader="none"/>
              </w:tabs>
              <w:spacing w:before="120" w:after="120"/>
              <w:ind w:hanging="357" w:left="714" w:right="0"/>
              <w:rPr>
                <w:szCs w:val="22"/>
              </w:rPr>
            </w:pPr>
            <w:r>
              <w:rPr>
                <w:szCs w:val="22"/>
              </w:rPr>
              <w:t>Le pré-étanchement du fond des fissures en cas de suintement ou de venue d’eau ;</w:t>
            </w:r>
          </w:p>
          <w:p>
            <w:pPr>
              <w:pStyle w:val="Normal"/>
              <w:widowControl w:val="false"/>
              <w:numPr>
                <w:ilvl w:val="0"/>
                <w:numId w:val="14"/>
              </w:numPr>
              <w:tabs>
                <w:tab w:val="clear" w:pos="708"/>
                <w:tab w:val="left" w:pos="283" w:leader="none"/>
              </w:tabs>
              <w:spacing w:before="120" w:after="120"/>
              <w:ind w:hanging="357" w:left="714" w:right="0"/>
              <w:rPr>
                <w:szCs w:val="22"/>
              </w:rPr>
            </w:pPr>
            <w:r>
              <w:rPr>
                <w:szCs w:val="22"/>
              </w:rPr>
              <w:t>Le cachetage ou colmatage des fissures, à l’aide d’un produit compatible avec la résine d’injection ;</w:t>
            </w:r>
          </w:p>
          <w:p>
            <w:pPr>
              <w:pStyle w:val="Normal"/>
              <w:widowControl w:val="false"/>
              <w:numPr>
                <w:ilvl w:val="0"/>
                <w:numId w:val="14"/>
              </w:numPr>
              <w:tabs>
                <w:tab w:val="clear" w:pos="708"/>
                <w:tab w:val="left" w:pos="283" w:leader="none"/>
              </w:tabs>
              <w:spacing w:before="120" w:after="120"/>
              <w:ind w:hanging="357" w:left="714" w:right="0"/>
              <w:rPr>
                <w:szCs w:val="22"/>
              </w:rPr>
            </w:pPr>
            <w:r>
              <w:rPr>
                <w:szCs w:val="22"/>
              </w:rPr>
              <w:t>La fourniture et la mise en place des injecteurs et évents d’injection ;</w:t>
            </w:r>
          </w:p>
          <w:p>
            <w:pPr>
              <w:pStyle w:val="Normal"/>
              <w:widowControl w:val="false"/>
              <w:numPr>
                <w:ilvl w:val="0"/>
                <w:numId w:val="14"/>
              </w:numPr>
              <w:tabs>
                <w:tab w:val="clear" w:pos="708"/>
                <w:tab w:val="left" w:pos="283" w:leader="none"/>
              </w:tabs>
              <w:spacing w:before="120" w:after="120"/>
              <w:ind w:hanging="357" w:left="714" w:right="0"/>
              <w:rPr>
                <w:szCs w:val="22"/>
              </w:rPr>
            </w:pPr>
            <w:r>
              <w:rPr>
                <w:szCs w:val="22"/>
              </w:rPr>
              <w:t>La fourniture et la mise en place du matériel d’injection ;</w:t>
            </w:r>
          </w:p>
          <w:p>
            <w:pPr>
              <w:pStyle w:val="Normal"/>
              <w:widowControl w:val="false"/>
              <w:numPr>
                <w:ilvl w:val="0"/>
                <w:numId w:val="14"/>
              </w:numPr>
              <w:tabs>
                <w:tab w:val="clear" w:pos="708"/>
                <w:tab w:val="left" w:pos="283" w:leader="none"/>
              </w:tabs>
              <w:spacing w:before="120" w:after="120"/>
              <w:ind w:hanging="357" w:left="714" w:right="0"/>
              <w:rPr>
                <w:szCs w:val="22"/>
              </w:rPr>
            </w:pPr>
            <w:r>
              <w:rPr>
                <w:szCs w:val="22"/>
              </w:rPr>
              <w:t>La fourniture et mise en œuvre du produit d’injection définis dans le CCTP ;</w:t>
            </w:r>
          </w:p>
          <w:p>
            <w:pPr>
              <w:pStyle w:val="Normal"/>
              <w:widowControl w:val="false"/>
              <w:numPr>
                <w:ilvl w:val="0"/>
                <w:numId w:val="14"/>
              </w:numPr>
              <w:tabs>
                <w:tab w:val="clear" w:pos="708"/>
                <w:tab w:val="left" w:pos="283" w:leader="none"/>
              </w:tabs>
              <w:spacing w:before="120" w:after="120"/>
              <w:ind w:hanging="357" w:left="714" w:right="0"/>
              <w:rPr>
                <w:szCs w:val="22"/>
              </w:rPr>
            </w:pPr>
            <w:r>
              <w:rPr>
                <w:szCs w:val="22"/>
              </w:rPr>
              <w:t>Le branchement à chaque tête et à chaque passe du système d’injection ;</w:t>
            </w:r>
          </w:p>
          <w:p>
            <w:pPr>
              <w:pStyle w:val="Normal"/>
              <w:widowControl w:val="false"/>
              <w:numPr>
                <w:ilvl w:val="0"/>
                <w:numId w:val="14"/>
              </w:numPr>
              <w:tabs>
                <w:tab w:val="clear" w:pos="708"/>
                <w:tab w:val="left" w:pos="283" w:leader="none"/>
              </w:tabs>
              <w:spacing w:before="120" w:after="120"/>
              <w:ind w:hanging="357" w:left="714" w:right="0"/>
              <w:rPr>
                <w:szCs w:val="22"/>
              </w:rPr>
            </w:pPr>
            <w:r>
              <w:rPr>
                <w:szCs w:val="22"/>
              </w:rPr>
              <w:t>Le stockage dans un endroit approprié des composants de la résine époxydique tant en termes d’humidité que de température ambiante ;</w:t>
            </w:r>
          </w:p>
          <w:p>
            <w:pPr>
              <w:pStyle w:val="Normal"/>
              <w:widowControl w:val="false"/>
              <w:numPr>
                <w:ilvl w:val="0"/>
                <w:numId w:val="14"/>
              </w:numPr>
              <w:tabs>
                <w:tab w:val="clear" w:pos="708"/>
                <w:tab w:val="left" w:pos="283" w:leader="none"/>
              </w:tabs>
              <w:spacing w:before="120" w:after="120"/>
              <w:ind w:hanging="357" w:left="714" w:right="0"/>
              <w:rPr>
                <w:szCs w:val="22"/>
              </w:rPr>
            </w:pPr>
            <w:r>
              <w:rPr>
                <w:szCs w:val="22"/>
              </w:rPr>
              <w:t>Le chauffage éventuel des composants avant utilisation ;</w:t>
            </w:r>
          </w:p>
          <w:p>
            <w:pPr>
              <w:pStyle w:val="Normal"/>
              <w:widowControl w:val="false"/>
              <w:numPr>
                <w:ilvl w:val="0"/>
                <w:numId w:val="14"/>
              </w:numPr>
              <w:tabs>
                <w:tab w:val="clear" w:pos="708"/>
                <w:tab w:val="left" w:pos="283" w:leader="none"/>
              </w:tabs>
              <w:spacing w:before="120" w:after="120"/>
              <w:ind w:hanging="357" w:left="714" w:right="0"/>
              <w:rPr>
                <w:szCs w:val="22"/>
              </w:rPr>
            </w:pPr>
            <w:r>
              <w:rPr>
                <w:szCs w:val="22"/>
              </w:rPr>
              <w:t>L’injection proprement dite de la résine époxydique et de toutes les opérations de contrôle intérieur nécessaires à la maîtrise des injections ;</w:t>
            </w:r>
          </w:p>
          <w:p>
            <w:pPr>
              <w:pStyle w:val="Normal"/>
              <w:widowControl w:val="false"/>
              <w:numPr>
                <w:ilvl w:val="0"/>
                <w:numId w:val="14"/>
              </w:numPr>
              <w:tabs>
                <w:tab w:val="clear" w:pos="708"/>
                <w:tab w:val="left" w:pos="283" w:leader="none"/>
              </w:tabs>
              <w:spacing w:before="120" w:after="120"/>
              <w:ind w:hanging="357" w:left="714" w:right="0"/>
              <w:rPr>
                <w:szCs w:val="22"/>
              </w:rPr>
            </w:pPr>
            <w:r>
              <w:rPr>
                <w:szCs w:val="22"/>
              </w:rPr>
              <w:t>La dépose des injecteurs et des évents et le ponçage/meulage du produit de colmatage des fissures en fin d’opération, y compris récupération et évacuation des déchets vers un centre de tri agréé ;</w:t>
            </w:r>
          </w:p>
          <w:p>
            <w:pPr>
              <w:pStyle w:val="Normal"/>
              <w:widowControl w:val="false"/>
              <w:numPr>
                <w:ilvl w:val="0"/>
                <w:numId w:val="14"/>
              </w:numPr>
              <w:tabs>
                <w:tab w:val="clear" w:pos="708"/>
                <w:tab w:val="left" w:pos="283" w:leader="none"/>
              </w:tabs>
              <w:spacing w:before="120" w:after="120"/>
              <w:ind w:hanging="357" w:left="714" w:right="0"/>
              <w:rPr>
                <w:szCs w:val="22"/>
              </w:rPr>
            </w:pPr>
            <w:r>
              <w:rPr>
                <w:szCs w:val="22"/>
              </w:rPr>
              <w:t>La protection de l’environnement contre toute pollution par les résidus issus de l’ouverture et du dépoussiérage ;</w:t>
            </w:r>
          </w:p>
          <w:p>
            <w:pPr>
              <w:pStyle w:val="Normal"/>
              <w:widowControl w:val="false"/>
              <w:numPr>
                <w:ilvl w:val="0"/>
                <w:numId w:val="14"/>
              </w:numPr>
              <w:tabs>
                <w:tab w:val="clear" w:pos="708"/>
                <w:tab w:val="left" w:pos="283" w:leader="none"/>
              </w:tabs>
              <w:spacing w:before="120" w:after="120"/>
              <w:ind w:hanging="357" w:left="714" w:right="0"/>
              <w:rPr>
                <w:szCs w:val="22"/>
              </w:rPr>
            </w:pPr>
            <w:r>
              <w:rPr>
                <w:szCs w:val="22"/>
              </w:rPr>
              <w:t>Le nettoyage des parements souillés du fait des travaux et la suppression de tout excédent de résine et de produit de colmatage ;</w:t>
            </w:r>
          </w:p>
          <w:p>
            <w:pPr>
              <w:pStyle w:val="Normal"/>
              <w:widowControl w:val="false"/>
              <w:numPr>
                <w:ilvl w:val="0"/>
                <w:numId w:val="14"/>
              </w:numPr>
              <w:tabs>
                <w:tab w:val="clear" w:pos="708"/>
                <w:tab w:val="left" w:pos="283" w:leader="none"/>
              </w:tabs>
              <w:spacing w:before="120" w:after="120"/>
              <w:ind w:hanging="357" w:left="714" w:right="0"/>
              <w:rPr>
                <w:szCs w:val="22"/>
              </w:rPr>
            </w:pPr>
            <w:r>
              <w:rPr>
                <w:szCs w:val="22"/>
              </w:rPr>
              <w:t>L’évacuation et le transport des déchets issus de l’opération, à la décharge publique, droit de décharge compris, ou à tout autre endroit proposé par l’entreprise et soumis à l’accord du maître d’œuvre, conformément au SOSED ;</w:t>
            </w:r>
          </w:p>
          <w:p>
            <w:pPr>
              <w:pStyle w:val="Normal"/>
              <w:widowControl w:val="false"/>
              <w:numPr>
                <w:ilvl w:val="0"/>
                <w:numId w:val="14"/>
              </w:numPr>
              <w:tabs>
                <w:tab w:val="clear" w:pos="708"/>
                <w:tab w:val="left" w:pos="283" w:leader="none"/>
              </w:tabs>
              <w:spacing w:before="120" w:after="120"/>
              <w:ind w:hanging="357" w:left="714" w:right="0"/>
              <w:rPr>
                <w:szCs w:val="22"/>
              </w:rPr>
            </w:pPr>
            <w:r>
              <w:rPr>
                <w:szCs w:val="22"/>
              </w:rPr>
              <w:t>Toutes sujétions de fourniture et de main d’œuvre</w:t>
            </w:r>
          </w:p>
          <w:p>
            <w:pPr>
              <w:pStyle w:val="Normal"/>
              <w:widowControl w:val="false"/>
              <w:numPr>
                <w:ilvl w:val="0"/>
                <w:numId w:val="14"/>
              </w:numPr>
              <w:tabs>
                <w:tab w:val="clear" w:pos="708"/>
                <w:tab w:val="left" w:pos="283" w:leader="none"/>
              </w:tabs>
              <w:spacing w:before="120" w:after="120"/>
              <w:rPr>
                <w:szCs w:val="22"/>
              </w:rPr>
            </w:pPr>
            <w:r>
              <w:rPr>
                <w:szCs w:val="22"/>
              </w:rPr>
              <w:t>Les plus-values pour les interventions de nuit et de week-end.</w:t>
            </w:r>
          </w:p>
          <w:p>
            <w:pPr>
              <w:pStyle w:val="Normal"/>
              <w:widowControl w:val="false"/>
              <w:tabs>
                <w:tab w:val="clear" w:pos="708"/>
                <w:tab w:val="left" w:pos="283" w:leader="none"/>
              </w:tabs>
              <w:spacing w:before="120" w:after="120"/>
              <w:rPr>
                <w:szCs w:val="22"/>
              </w:rPr>
            </w:pPr>
            <w:r>
              <w:rPr>
                <w:szCs w:val="22"/>
              </w:rPr>
            </w:r>
          </w:p>
          <w:p>
            <w:pPr>
              <w:pStyle w:val="Normal"/>
              <w:widowControl w:val="false"/>
              <w:rPr/>
            </w:pPr>
            <w:r>
              <w:rPr/>
              <w:t>Ce prix ne comprend pas :</w:t>
            </w:r>
          </w:p>
          <w:p>
            <w:pPr>
              <w:pStyle w:val="ListParagraph"/>
              <w:widowControl w:val="false"/>
              <w:numPr>
                <w:ilvl w:val="0"/>
                <w:numId w:val="17"/>
              </w:numPr>
              <w:rPr/>
            </w:pPr>
            <w:r>
              <w:rPr/>
              <w:t>Les moyens d’accès à la zone des travaux, rémunérés par le prix n°201</w:t>
            </w:r>
          </w:p>
          <w:p>
            <w:pPr>
              <w:pStyle w:val="Normal"/>
              <w:widowControl w:val="false"/>
              <w:tabs>
                <w:tab w:val="clear" w:pos="708"/>
                <w:tab w:val="left" w:pos="283" w:leader="none"/>
              </w:tabs>
              <w:spacing w:before="120" w:after="120"/>
              <w:rPr>
                <w:szCs w:val="22"/>
              </w:rPr>
            </w:pPr>
            <w:r>
              <w:rPr>
                <w:szCs w:val="22"/>
              </w:rPr>
            </w:r>
          </w:p>
          <w:p>
            <w:pPr>
              <w:pStyle w:val="Normal"/>
              <w:widowControl w:val="false"/>
              <w:tabs>
                <w:tab w:val="clear" w:pos="708"/>
                <w:tab w:val="left" w:pos="283" w:leader="none"/>
              </w:tabs>
              <w:spacing w:before="120" w:after="120"/>
              <w:rPr>
                <w:szCs w:val="22"/>
              </w:rPr>
            </w:pPr>
            <w:r>
              <w:rPr>
                <w:szCs w:val="22"/>
              </w:rPr>
              <w:t xml:space="preserve">Ce prix sera rémunéré par métrés contradictoires avec le maitre d’œuvre. </w:t>
            </w:r>
          </w:p>
          <w:p>
            <w:pPr>
              <w:pStyle w:val="Normal"/>
              <w:widowControl w:val="false"/>
              <w:rPr/>
            </w:pPr>
            <w:r>
              <w:rPr/>
              <w:t>Ce prix est réglé mensuellement sur décompte des quantités exécutés.</w:t>
            </w:r>
          </w:p>
          <w:p>
            <w:pPr>
              <w:pStyle w:val="Normal"/>
              <w:widowControl w:val="false"/>
              <w:tabs>
                <w:tab w:val="clear" w:pos="708"/>
                <w:tab w:val="left" w:pos="283" w:leader="none"/>
              </w:tabs>
              <w:spacing w:before="120" w:after="120"/>
              <w:rPr>
                <w:szCs w:val="22"/>
              </w:rPr>
            </w:pPr>
            <w:r>
              <w:rPr>
                <w:szCs w:val="22"/>
              </w:rPr>
            </w:r>
          </w:p>
        </w:tc>
      </w:tr>
      <w:tr>
        <w:trPr>
          <w:trHeight w:val="973" w:hRule="atLeast"/>
        </w:trPr>
        <w:tc>
          <w:tcPr>
            <w:tcW w:w="1259" w:type="dxa"/>
            <w:vMerge w:val="continue"/>
            <w:tcBorders>
              <w:top w:val="single" w:sz="8" w:space="0" w:color="000000"/>
              <w:left w:val="single" w:sz="8" w:space="0" w:color="000000"/>
              <w:bottom w:val="single" w:sz="8" w:space="0" w:color="000000"/>
              <w:right w:val="single" w:sz="8" w:space="0" w:color="000000"/>
            </w:tcBorders>
            <w:vAlign w:val="center"/>
          </w:tcPr>
          <w:p>
            <w:pPr>
              <w:pStyle w:val="Normal"/>
              <w:widowControl/>
              <w:suppressAutoHyphens w:val="true"/>
              <w:bidi w:val="0"/>
              <w:spacing w:before="0" w:after="120"/>
              <w:jc w:val="both"/>
              <w:rPr/>
            </w:pPr>
            <w:r>
              <w:rPr/>
            </w:r>
          </w:p>
        </w:tc>
        <w:tc>
          <w:tcPr>
            <w:tcW w:w="5221" w:type="dxa"/>
            <w:tcBorders>
              <w:top w:val="single" w:sz="8" w:space="0" w:color="000000"/>
              <w:left w:val="single" w:sz="8" w:space="0" w:color="000000"/>
              <w:bottom w:val="single" w:sz="8" w:space="0" w:color="000000"/>
              <w:right w:val="single" w:sz="8" w:space="0" w:color="000000"/>
            </w:tcBorders>
          </w:tcPr>
          <w:p>
            <w:pPr>
              <w:pStyle w:val="Normal"/>
              <w:widowControl w:val="false"/>
              <w:tabs>
                <w:tab w:val="clear" w:pos="708"/>
                <w:tab w:val="center" w:pos="4536" w:leader="none"/>
                <w:tab w:val="right" w:pos="9072" w:leader="none"/>
              </w:tabs>
              <w:rPr/>
            </w:pPr>
            <w:r>
              <w:rPr>
                <w:b/>
                <w:bCs/>
              </w:rPr>
              <w:t>Le mètre linéaire</w:t>
            </w:r>
            <w:r>
              <w:rPr>
                <w:b/>
                <w:bCs/>
                <w:vertAlign w:val="superscript"/>
              </w:rPr>
              <w:t xml:space="preserve"> </w:t>
            </w:r>
            <w:r>
              <w:rPr>
                <w:b/>
                <w:bCs/>
              </w:rPr>
              <w:t>(en lettres)</w:t>
            </w:r>
          </w:p>
          <w:p>
            <w:pPr>
              <w:pStyle w:val="Normal"/>
              <w:widowControl w:val="false"/>
              <w:tabs>
                <w:tab w:val="clear" w:pos="708"/>
                <w:tab w:val="center" w:pos="4536" w:leader="none"/>
                <w:tab w:val="right" w:pos="9072" w:leader="none"/>
              </w:tabs>
              <w:rPr>
                <w:b/>
                <w:bCs/>
              </w:rPr>
            </w:pPr>
            <w:r>
              <w:rPr>
                <w:b/>
                <w:bCs/>
              </w:rPr>
            </w:r>
          </w:p>
          <w:p>
            <w:pPr>
              <w:pStyle w:val="Normal"/>
              <w:widowControl w:val="false"/>
              <w:tabs>
                <w:tab w:val="clear" w:pos="708"/>
                <w:tab w:val="center" w:pos="4536" w:leader="none"/>
                <w:tab w:val="right" w:pos="9072" w:leader="none"/>
              </w:tabs>
              <w:spacing w:before="0" w:after="120"/>
              <w:rPr>
                <w:b/>
                <w:bCs/>
              </w:rPr>
            </w:pPr>
            <w:r>
              <w:rPr>
                <w:b/>
                <w:bCs/>
              </w:rPr>
            </w:r>
          </w:p>
        </w:tc>
        <w:tc>
          <w:tcPr>
            <w:tcW w:w="2591" w:type="dxa"/>
            <w:tcBorders>
              <w:top w:val="single" w:sz="8" w:space="0" w:color="000000"/>
              <w:left w:val="single" w:sz="8" w:space="0" w:color="000000"/>
              <w:bottom w:val="single" w:sz="8" w:space="0" w:color="000000"/>
              <w:right w:val="single" w:sz="8" w:space="0" w:color="000000"/>
            </w:tcBorders>
          </w:tcPr>
          <w:p>
            <w:pPr>
              <w:pStyle w:val="Normal"/>
              <w:widowControl w:val="false"/>
              <w:tabs>
                <w:tab w:val="clear" w:pos="708"/>
                <w:tab w:val="center" w:pos="4536" w:leader="none"/>
                <w:tab w:val="right" w:pos="9072" w:leader="none"/>
              </w:tabs>
              <w:rPr>
                <w:b/>
                <w:bCs/>
              </w:rPr>
            </w:pPr>
            <w:r>
              <w:rPr>
                <w:b/>
                <w:bCs/>
              </w:rPr>
              <w:t>Le mètre linéaire (en chiffres)</w:t>
            </w:r>
          </w:p>
          <w:p>
            <w:pPr>
              <w:pStyle w:val="Normal"/>
              <w:widowControl w:val="false"/>
              <w:tabs>
                <w:tab w:val="clear" w:pos="708"/>
                <w:tab w:val="center" w:pos="4536" w:leader="none"/>
                <w:tab w:val="right" w:pos="9072" w:leader="none"/>
              </w:tabs>
              <w:spacing w:before="0" w:after="120"/>
              <w:rPr>
                <w:b/>
                <w:bCs/>
              </w:rPr>
            </w:pPr>
            <w:r>
              <w:rPr>
                <w:b/>
                <w:bCs/>
              </w:rPr>
            </w:r>
          </w:p>
        </w:tc>
      </w:tr>
    </w:tbl>
    <w:p>
      <w:pPr>
        <w:pStyle w:val="Normal"/>
        <w:ind w:firstLine="708" w:left="0" w:right="0"/>
        <w:rPr/>
        <w:sectPr>
          <w:headerReference w:type="default" r:id="rId18"/>
          <w:headerReference w:type="first" r:id="rId19"/>
          <w:footerReference w:type="default" r:id="rId20"/>
          <w:footerReference w:type="first" r:id="rId21"/>
          <w:type w:val="nextPage"/>
          <w:pgSz w:w="11906" w:h="16838"/>
          <w:pgMar w:left="1417" w:right="1417" w:gutter="0" w:header="708" w:top="1985" w:footer="292" w:bottom="1560"/>
          <w:pgNumType w:fmt="decimal"/>
          <w:formProt w:val="false"/>
          <w:textDirection w:val="lrTb"/>
          <w:docGrid w:type="default" w:linePitch="360" w:charSpace="16384"/>
        </w:sectPr>
      </w:pPr>
      <w:r>
        <w:rPr/>
      </w:r>
    </w:p>
    <w:tbl>
      <w:tblPr>
        <w:tblW w:w="9071" w:type="dxa"/>
        <w:jc w:val="left"/>
        <w:tblInd w:w="108" w:type="dxa"/>
        <w:tblLayout w:type="fixed"/>
        <w:tblCellMar>
          <w:top w:w="0" w:type="dxa"/>
          <w:left w:w="108" w:type="dxa"/>
          <w:bottom w:w="0" w:type="dxa"/>
          <w:right w:w="108" w:type="dxa"/>
        </w:tblCellMar>
      </w:tblPr>
      <w:tblGrid>
        <w:gridCol w:w="1259"/>
        <w:gridCol w:w="5221"/>
        <w:gridCol w:w="2591"/>
      </w:tblGrid>
      <w:tr>
        <w:trPr/>
        <w:tc>
          <w:tcPr>
            <w:tcW w:w="1259" w:type="dxa"/>
            <w:tcBorders>
              <w:top w:val="single" w:sz="8" w:space="0" w:color="000000"/>
              <w:left w:val="single" w:sz="8" w:space="0" w:color="000000"/>
              <w:bottom w:val="single" w:sz="8" w:space="0" w:color="000000"/>
              <w:right w:val="single" w:sz="8" w:space="0" w:color="000000"/>
            </w:tcBorders>
            <w:shd w:fill="009782" w:val="clear"/>
          </w:tcPr>
          <w:p>
            <w:pPr>
              <w:pStyle w:val="Normal"/>
              <w:widowControl w:val="false"/>
              <w:tabs>
                <w:tab w:val="clear" w:pos="708"/>
                <w:tab w:val="center" w:pos="4536" w:leader="none"/>
                <w:tab w:val="right" w:pos="9072" w:leader="none"/>
              </w:tabs>
              <w:spacing w:before="120" w:after="120"/>
              <w:jc w:val="center"/>
              <w:rPr>
                <w:b/>
                <w:bCs/>
                <w:i/>
                <w:color w:val="FFFFFF"/>
              </w:rPr>
            </w:pPr>
            <w:r>
              <w:rPr>
                <w:b/>
                <w:bCs/>
                <w:i/>
                <w:color w:val="FFFFFF"/>
              </w:rPr>
              <w:t>N° PRIX</w:t>
            </w:r>
          </w:p>
        </w:tc>
        <w:tc>
          <w:tcPr>
            <w:tcW w:w="7812" w:type="dxa"/>
            <w:gridSpan w:val="2"/>
            <w:tcBorders>
              <w:top w:val="single" w:sz="8" w:space="0" w:color="000000"/>
              <w:left w:val="single" w:sz="8" w:space="0" w:color="000000"/>
              <w:bottom w:val="single" w:sz="8" w:space="0" w:color="000000"/>
              <w:right w:val="single" w:sz="8" w:space="0" w:color="000000"/>
            </w:tcBorders>
            <w:shd w:fill="009782" w:val="clear"/>
            <w:vAlign w:val="center"/>
          </w:tcPr>
          <w:p>
            <w:pPr>
              <w:pStyle w:val="Normal"/>
              <w:widowControl w:val="false"/>
              <w:tabs>
                <w:tab w:val="clear" w:pos="708"/>
                <w:tab w:val="center" w:pos="4536" w:leader="none"/>
                <w:tab w:val="right" w:pos="9072" w:leader="none"/>
              </w:tabs>
              <w:spacing w:before="120" w:after="120"/>
              <w:jc w:val="center"/>
              <w:rPr>
                <w:b/>
                <w:bCs/>
                <w:i/>
                <w:color w:val="FFFFFF"/>
              </w:rPr>
            </w:pPr>
            <w:r>
              <w:rPr>
                <w:b/>
                <w:bCs/>
                <w:i/>
                <w:color w:val="FFFFFF"/>
              </w:rPr>
              <w:t>DESIGNATION DES OUVRAGES ET PRIX HORS TAXE</w:t>
            </w:r>
          </w:p>
        </w:tc>
      </w:tr>
      <w:tr>
        <w:trPr/>
        <w:tc>
          <w:tcPr>
            <w:tcW w:w="1259" w:type="dxa"/>
            <w:vMerge w:val="restart"/>
            <w:tcBorders>
              <w:top w:val="single" w:sz="8" w:space="0" w:color="000000"/>
              <w:left w:val="single" w:sz="8" w:space="0" w:color="000000"/>
              <w:bottom w:val="single" w:sz="8" w:space="0" w:color="000000"/>
              <w:right w:val="single" w:sz="8" w:space="0" w:color="000000"/>
            </w:tcBorders>
          </w:tcPr>
          <w:p>
            <w:pPr>
              <w:pStyle w:val="Normal"/>
              <w:widowControl w:val="false"/>
              <w:spacing w:before="0" w:after="120"/>
              <w:jc w:val="center"/>
              <w:rPr>
                <w:b/>
                <w:bCs/>
              </w:rPr>
            </w:pPr>
            <w:r>
              <w:rPr>
                <w:b/>
                <w:bCs/>
              </w:rPr>
              <w:t>403</w:t>
            </w:r>
          </w:p>
        </w:tc>
        <w:tc>
          <w:tcPr>
            <w:tcW w:w="7812" w:type="dxa"/>
            <w:gridSpan w:val="2"/>
            <w:tcBorders>
              <w:top w:val="single" w:sz="8" w:space="0" w:color="000000"/>
              <w:left w:val="single" w:sz="8" w:space="0" w:color="000000"/>
              <w:bottom w:val="single" w:sz="8" w:space="0" w:color="000000"/>
              <w:right w:val="single" w:sz="8" w:space="0" w:color="000000"/>
            </w:tcBorders>
            <w:vAlign w:val="center"/>
          </w:tcPr>
          <w:p>
            <w:pPr>
              <w:pStyle w:val="Subtitle"/>
              <w:widowControl w:val="false"/>
              <w:rPr/>
            </w:pPr>
            <w:bookmarkStart w:id="40" w:name="_Toc166576664"/>
            <w:r>
              <w:rPr>
                <w:rFonts w:eastAsia="Times New Roman" w:cs="Times New Roman" w:ascii="Arial" w:hAnsi="Arial"/>
                <w:b/>
                <w:bCs/>
                <w:smallCaps/>
                <w:color w:val="339966"/>
                <w:spacing w:val="-6"/>
                <w:sz w:val="24"/>
                <w:szCs w:val="24"/>
              </w:rPr>
              <w:t xml:space="preserve">Traitement des fissures des poutres par </w:t>
            </w:r>
            <w:bookmarkEnd w:id="40"/>
            <w:r>
              <w:rPr>
                <w:rFonts w:eastAsia="Times New Roman" w:cs="Times New Roman" w:ascii="Arial" w:hAnsi="Arial"/>
                <w:b/>
                <w:bCs/>
                <w:smallCaps/>
                <w:color w:val="339966"/>
                <w:spacing w:val="-6"/>
                <w:sz w:val="24"/>
                <w:szCs w:val="24"/>
              </w:rPr>
              <w:t>pontage</w:t>
            </w:r>
          </w:p>
          <w:p>
            <w:pPr>
              <w:pStyle w:val="Normal"/>
              <w:widowControl w:val="false"/>
              <w:rPr>
                <w:rFonts w:cs="Arial"/>
                <w:szCs w:val="22"/>
              </w:rPr>
            </w:pPr>
            <w:r>
              <w:rPr>
                <w:rFonts w:cs="Arial"/>
                <w:szCs w:val="22"/>
              </w:rPr>
              <w:t>Ce prix rémunère, au mètre linéaire, le traitement des fissures des poutres par pontage selon les prescriptions du CCTP.</w:t>
            </w:r>
          </w:p>
          <w:p>
            <w:pPr>
              <w:pStyle w:val="Normal"/>
              <w:widowControl w:val="false"/>
              <w:rPr>
                <w:rFonts w:cs="Arial"/>
                <w:szCs w:val="22"/>
              </w:rPr>
            </w:pPr>
            <w:r>
              <w:rPr>
                <w:rFonts w:cs="Arial"/>
                <w:szCs w:val="22"/>
              </w:rPr>
            </w:r>
          </w:p>
          <w:p>
            <w:pPr>
              <w:pStyle w:val="Normal"/>
              <w:widowControl w:val="false"/>
              <w:rPr>
                <w:szCs w:val="22"/>
              </w:rPr>
            </w:pPr>
            <w:r>
              <w:rPr>
                <w:szCs w:val="22"/>
              </w:rPr>
              <w:t>Ce prix comprend :</w:t>
            </w:r>
          </w:p>
          <w:p>
            <w:pPr>
              <w:pStyle w:val="Normal"/>
              <w:widowControl w:val="false"/>
              <w:numPr>
                <w:ilvl w:val="0"/>
                <w:numId w:val="14"/>
              </w:numPr>
              <w:tabs>
                <w:tab w:val="clear" w:pos="708"/>
                <w:tab w:val="left" w:pos="283" w:leader="none"/>
              </w:tabs>
              <w:spacing w:before="120" w:after="120"/>
              <w:ind w:hanging="357" w:left="714" w:right="0"/>
              <w:rPr>
                <w:szCs w:val="22"/>
              </w:rPr>
            </w:pPr>
            <w:r>
              <w:rPr>
                <w:szCs w:val="22"/>
              </w:rPr>
              <w:t>Le pontage des fissures sur les poutres, dont l’ouverture est inférieure à 0,3 mm, selon les prescriptions du CCTP,</w:t>
            </w:r>
          </w:p>
          <w:p>
            <w:pPr>
              <w:pStyle w:val="Normal"/>
              <w:widowControl w:val="false"/>
              <w:numPr>
                <w:ilvl w:val="0"/>
                <w:numId w:val="14"/>
              </w:numPr>
              <w:tabs>
                <w:tab w:val="clear" w:pos="708"/>
                <w:tab w:val="left" w:pos="283" w:leader="none"/>
              </w:tabs>
              <w:spacing w:before="120" w:after="120"/>
              <w:rPr>
                <w:szCs w:val="22"/>
              </w:rPr>
            </w:pPr>
            <w:r>
              <w:rPr>
                <w:szCs w:val="22"/>
              </w:rPr>
              <w:t>La mise à disposition ou la fourniture, l'amenée et l'installation complète, des matériels et matériaux nécessaires à cette opération,</w:t>
            </w:r>
          </w:p>
          <w:p>
            <w:pPr>
              <w:pStyle w:val="Normal"/>
              <w:widowControl w:val="false"/>
              <w:numPr>
                <w:ilvl w:val="0"/>
                <w:numId w:val="14"/>
              </w:numPr>
              <w:tabs>
                <w:tab w:val="clear" w:pos="708"/>
                <w:tab w:val="left" w:pos="283" w:leader="none"/>
              </w:tabs>
              <w:spacing w:before="120" w:after="120"/>
              <w:rPr>
                <w:szCs w:val="22"/>
              </w:rPr>
            </w:pPr>
            <w:r>
              <w:rPr>
                <w:szCs w:val="22"/>
              </w:rPr>
              <w:t>L’ouverture des fissures manuellement, par meuleuse ou par rainureuse,</w:t>
            </w:r>
          </w:p>
          <w:p>
            <w:pPr>
              <w:pStyle w:val="Normal"/>
              <w:widowControl w:val="false"/>
              <w:numPr>
                <w:ilvl w:val="0"/>
                <w:numId w:val="14"/>
              </w:numPr>
              <w:tabs>
                <w:tab w:val="clear" w:pos="708"/>
                <w:tab w:val="left" w:pos="283" w:leader="none"/>
              </w:tabs>
              <w:spacing w:before="120" w:after="120"/>
              <w:rPr>
                <w:szCs w:val="22"/>
              </w:rPr>
            </w:pPr>
            <w:r>
              <w:rPr>
                <w:szCs w:val="22"/>
              </w:rPr>
              <w:t>Le dépoussiérage des fissures par brossage ou soufflage à l’air déshumidifié et déshuilé,</w:t>
            </w:r>
          </w:p>
          <w:p>
            <w:pPr>
              <w:pStyle w:val="Normal"/>
              <w:widowControl w:val="false"/>
              <w:numPr>
                <w:ilvl w:val="0"/>
                <w:numId w:val="14"/>
              </w:numPr>
              <w:tabs>
                <w:tab w:val="clear" w:pos="708"/>
                <w:tab w:val="left" w:pos="283" w:leader="none"/>
              </w:tabs>
              <w:spacing w:before="120" w:after="120"/>
              <w:rPr>
                <w:szCs w:val="22"/>
              </w:rPr>
            </w:pPr>
            <w:r>
              <w:rPr>
                <w:szCs w:val="22"/>
              </w:rPr>
              <w:t>Le pré-étanchement du fond de fissure en cas de suintement ou de venue d’eau, avec un produit conforme au CCTP,</w:t>
            </w:r>
          </w:p>
          <w:p>
            <w:pPr>
              <w:pStyle w:val="Normal"/>
              <w:widowControl w:val="false"/>
              <w:numPr>
                <w:ilvl w:val="0"/>
                <w:numId w:val="14"/>
              </w:numPr>
              <w:tabs>
                <w:tab w:val="clear" w:pos="708"/>
                <w:tab w:val="left" w:pos="283" w:leader="none"/>
              </w:tabs>
              <w:spacing w:before="120" w:after="120"/>
              <w:rPr>
                <w:szCs w:val="22"/>
              </w:rPr>
            </w:pPr>
            <w:r>
              <w:rPr>
                <w:szCs w:val="22"/>
              </w:rPr>
              <w:t xml:space="preserve">La protection de l’environnement contre toute pollution par les résidus issus de l’ouverture et du dépoussiérage, </w:t>
            </w:r>
          </w:p>
          <w:p>
            <w:pPr>
              <w:pStyle w:val="Normal"/>
              <w:widowControl w:val="false"/>
              <w:numPr>
                <w:ilvl w:val="0"/>
                <w:numId w:val="14"/>
              </w:numPr>
              <w:tabs>
                <w:tab w:val="clear" w:pos="708"/>
                <w:tab w:val="left" w:pos="283" w:leader="none"/>
              </w:tabs>
              <w:spacing w:before="120" w:after="120"/>
              <w:rPr>
                <w:szCs w:val="22"/>
              </w:rPr>
            </w:pPr>
            <w:r>
              <w:rPr>
                <w:szCs w:val="22"/>
              </w:rPr>
              <w:t xml:space="preserve">Le pontage des fissures à l’aide d’un produit conforme aux prescriptions du CCTP, </w:t>
            </w:r>
          </w:p>
          <w:p>
            <w:pPr>
              <w:pStyle w:val="Normal"/>
              <w:widowControl w:val="false"/>
              <w:numPr>
                <w:ilvl w:val="0"/>
                <w:numId w:val="14"/>
              </w:numPr>
              <w:tabs>
                <w:tab w:val="clear" w:pos="708"/>
                <w:tab w:val="left" w:pos="283" w:leader="none"/>
              </w:tabs>
              <w:spacing w:before="120" w:after="120"/>
              <w:rPr>
                <w:szCs w:val="22"/>
              </w:rPr>
            </w:pPr>
            <w:r>
              <w:rPr>
                <w:szCs w:val="22"/>
              </w:rPr>
              <w:t>La plus-value due à la mise en place d’un fond de joint dans le cas des fissures actives,</w:t>
            </w:r>
          </w:p>
          <w:p>
            <w:pPr>
              <w:pStyle w:val="Normal"/>
              <w:widowControl w:val="false"/>
              <w:numPr>
                <w:ilvl w:val="0"/>
                <w:numId w:val="14"/>
              </w:numPr>
              <w:tabs>
                <w:tab w:val="clear" w:pos="708"/>
                <w:tab w:val="left" w:pos="283" w:leader="none"/>
              </w:tabs>
              <w:spacing w:before="120" w:after="120"/>
              <w:rPr>
                <w:szCs w:val="22"/>
              </w:rPr>
            </w:pPr>
            <w:r>
              <w:rPr>
                <w:szCs w:val="22"/>
              </w:rPr>
              <w:t>Le nettoyage des parements souillés du fait des travaux,</w:t>
            </w:r>
          </w:p>
          <w:p>
            <w:pPr>
              <w:pStyle w:val="Normal"/>
              <w:widowControl w:val="false"/>
              <w:numPr>
                <w:ilvl w:val="0"/>
                <w:numId w:val="14"/>
              </w:numPr>
              <w:tabs>
                <w:tab w:val="clear" w:pos="708"/>
                <w:tab w:val="left" w:pos="283" w:leader="none"/>
              </w:tabs>
              <w:spacing w:before="120" w:after="120"/>
              <w:rPr>
                <w:szCs w:val="22"/>
              </w:rPr>
            </w:pPr>
            <w:r>
              <w:rPr>
                <w:szCs w:val="22"/>
              </w:rPr>
              <w:t xml:space="preserve">L’évacuation et le transport en décharge des déchets issus du dépoussiérage, droits de décharge compris, en décharge agréée par le maître d’œuvre, et conformément au SOSED, </w:t>
            </w:r>
          </w:p>
          <w:p>
            <w:pPr>
              <w:pStyle w:val="Normal"/>
              <w:widowControl w:val="false"/>
              <w:numPr>
                <w:ilvl w:val="0"/>
                <w:numId w:val="14"/>
              </w:numPr>
              <w:tabs>
                <w:tab w:val="clear" w:pos="708"/>
                <w:tab w:val="left" w:pos="283" w:leader="none"/>
              </w:tabs>
              <w:spacing w:before="120" w:after="120"/>
              <w:rPr>
                <w:szCs w:val="22"/>
              </w:rPr>
            </w:pPr>
            <w:r>
              <w:rPr>
                <w:szCs w:val="22"/>
              </w:rPr>
              <w:t>Toutes sujétions de fourniture et de main d’œuvre,</w:t>
            </w:r>
          </w:p>
          <w:p>
            <w:pPr>
              <w:pStyle w:val="Normal"/>
              <w:widowControl w:val="false"/>
              <w:numPr>
                <w:ilvl w:val="0"/>
                <w:numId w:val="14"/>
              </w:numPr>
              <w:tabs>
                <w:tab w:val="clear" w:pos="708"/>
                <w:tab w:val="left" w:pos="283" w:leader="none"/>
              </w:tabs>
              <w:spacing w:before="120" w:after="120"/>
              <w:rPr>
                <w:szCs w:val="22"/>
              </w:rPr>
            </w:pPr>
            <w:r>
              <w:rPr>
                <w:szCs w:val="22"/>
              </w:rPr>
              <w:t>Les plus-values pour les interventions de nuit et de week-end.</w:t>
            </w:r>
          </w:p>
          <w:p>
            <w:pPr>
              <w:pStyle w:val="Normal"/>
              <w:widowControl w:val="false"/>
              <w:tabs>
                <w:tab w:val="clear" w:pos="708"/>
                <w:tab w:val="left" w:pos="283" w:leader="none"/>
              </w:tabs>
              <w:spacing w:before="120" w:after="120"/>
              <w:rPr>
                <w:szCs w:val="22"/>
              </w:rPr>
            </w:pPr>
            <w:r>
              <w:rPr>
                <w:szCs w:val="22"/>
              </w:rPr>
            </w:r>
          </w:p>
          <w:p>
            <w:pPr>
              <w:pStyle w:val="Normal"/>
              <w:widowControl w:val="false"/>
              <w:rPr/>
            </w:pPr>
            <w:r>
              <w:rPr/>
              <w:t>Ce prix ne comprend pas :</w:t>
            </w:r>
          </w:p>
          <w:p>
            <w:pPr>
              <w:pStyle w:val="ListParagraph"/>
              <w:widowControl w:val="false"/>
              <w:numPr>
                <w:ilvl w:val="0"/>
                <w:numId w:val="17"/>
              </w:numPr>
              <w:rPr/>
            </w:pPr>
            <w:r>
              <w:rPr/>
              <w:t>Les moyens d’accès à la zone des travaux, rémunérés par le prix n°201</w:t>
            </w:r>
          </w:p>
          <w:p>
            <w:pPr>
              <w:pStyle w:val="Normal"/>
              <w:widowControl w:val="false"/>
              <w:tabs>
                <w:tab w:val="clear" w:pos="708"/>
                <w:tab w:val="left" w:pos="283" w:leader="none"/>
              </w:tabs>
              <w:spacing w:before="120" w:after="120"/>
              <w:rPr>
                <w:szCs w:val="22"/>
              </w:rPr>
            </w:pPr>
            <w:r>
              <w:rPr>
                <w:szCs w:val="22"/>
              </w:rPr>
            </w:r>
          </w:p>
          <w:p>
            <w:pPr>
              <w:pStyle w:val="Normal"/>
              <w:widowControl w:val="false"/>
              <w:tabs>
                <w:tab w:val="clear" w:pos="708"/>
                <w:tab w:val="left" w:pos="283" w:leader="none"/>
              </w:tabs>
              <w:spacing w:before="120" w:after="120"/>
              <w:rPr>
                <w:szCs w:val="22"/>
              </w:rPr>
            </w:pPr>
            <w:r>
              <w:rPr>
                <w:szCs w:val="22"/>
              </w:rPr>
              <w:t xml:space="preserve">Ce prix sera rémunéré par métrés contradictoires avec le MOE. </w:t>
            </w:r>
          </w:p>
          <w:p>
            <w:pPr>
              <w:pStyle w:val="Normal"/>
              <w:widowControl w:val="false"/>
              <w:rPr/>
            </w:pPr>
            <w:r>
              <w:rPr/>
              <w:t>Ce prix est réglé mensuellement sur décompte des quantités exécutés.</w:t>
            </w:r>
          </w:p>
          <w:p>
            <w:pPr>
              <w:pStyle w:val="Normal"/>
              <w:widowControl w:val="false"/>
              <w:tabs>
                <w:tab w:val="clear" w:pos="708"/>
                <w:tab w:val="left" w:pos="283" w:leader="none"/>
              </w:tabs>
              <w:spacing w:before="120" w:after="120"/>
              <w:rPr>
                <w:szCs w:val="22"/>
              </w:rPr>
            </w:pPr>
            <w:r>
              <w:rPr>
                <w:szCs w:val="22"/>
              </w:rPr>
            </w:r>
          </w:p>
        </w:tc>
      </w:tr>
      <w:tr>
        <w:trPr>
          <w:trHeight w:val="973" w:hRule="atLeast"/>
        </w:trPr>
        <w:tc>
          <w:tcPr>
            <w:tcW w:w="1259" w:type="dxa"/>
            <w:vMerge w:val="continue"/>
            <w:tcBorders>
              <w:top w:val="single" w:sz="8" w:space="0" w:color="000000"/>
              <w:left w:val="single" w:sz="8" w:space="0" w:color="000000"/>
              <w:bottom w:val="single" w:sz="8" w:space="0" w:color="000000"/>
              <w:right w:val="single" w:sz="8" w:space="0" w:color="000000"/>
            </w:tcBorders>
            <w:vAlign w:val="center"/>
          </w:tcPr>
          <w:p>
            <w:pPr>
              <w:pStyle w:val="Normal"/>
              <w:widowControl/>
              <w:suppressAutoHyphens w:val="true"/>
              <w:bidi w:val="0"/>
              <w:spacing w:before="0" w:after="120"/>
              <w:jc w:val="both"/>
              <w:rPr/>
            </w:pPr>
            <w:r>
              <w:rPr/>
            </w:r>
          </w:p>
        </w:tc>
        <w:tc>
          <w:tcPr>
            <w:tcW w:w="5221" w:type="dxa"/>
            <w:tcBorders>
              <w:top w:val="single" w:sz="8" w:space="0" w:color="000000"/>
              <w:left w:val="single" w:sz="8" w:space="0" w:color="000000"/>
              <w:bottom w:val="single" w:sz="8" w:space="0" w:color="000000"/>
              <w:right w:val="single" w:sz="8" w:space="0" w:color="000000"/>
            </w:tcBorders>
          </w:tcPr>
          <w:p>
            <w:pPr>
              <w:pStyle w:val="Normal"/>
              <w:widowControl w:val="false"/>
              <w:tabs>
                <w:tab w:val="clear" w:pos="708"/>
                <w:tab w:val="center" w:pos="4536" w:leader="none"/>
                <w:tab w:val="right" w:pos="9072" w:leader="none"/>
              </w:tabs>
              <w:rPr/>
            </w:pPr>
            <w:r>
              <w:rPr>
                <w:b/>
                <w:bCs/>
              </w:rPr>
              <w:t>Le mètre linéaire</w:t>
            </w:r>
            <w:r>
              <w:rPr>
                <w:b/>
                <w:bCs/>
                <w:vertAlign w:val="superscript"/>
              </w:rPr>
              <w:t xml:space="preserve"> </w:t>
            </w:r>
            <w:r>
              <w:rPr>
                <w:b/>
                <w:bCs/>
              </w:rPr>
              <w:t>(en lettres)</w:t>
            </w:r>
          </w:p>
          <w:p>
            <w:pPr>
              <w:pStyle w:val="Normal"/>
              <w:widowControl w:val="false"/>
              <w:tabs>
                <w:tab w:val="clear" w:pos="708"/>
                <w:tab w:val="center" w:pos="4536" w:leader="none"/>
                <w:tab w:val="right" w:pos="9072" w:leader="none"/>
              </w:tabs>
              <w:rPr>
                <w:b/>
                <w:bCs/>
              </w:rPr>
            </w:pPr>
            <w:r>
              <w:rPr>
                <w:b/>
                <w:bCs/>
              </w:rPr>
            </w:r>
          </w:p>
          <w:p>
            <w:pPr>
              <w:pStyle w:val="Normal"/>
              <w:widowControl w:val="false"/>
              <w:tabs>
                <w:tab w:val="clear" w:pos="708"/>
                <w:tab w:val="center" w:pos="4536" w:leader="none"/>
                <w:tab w:val="right" w:pos="9072" w:leader="none"/>
              </w:tabs>
              <w:spacing w:before="0" w:after="120"/>
              <w:rPr>
                <w:b/>
                <w:bCs/>
              </w:rPr>
            </w:pPr>
            <w:r>
              <w:rPr>
                <w:b/>
                <w:bCs/>
              </w:rPr>
            </w:r>
          </w:p>
        </w:tc>
        <w:tc>
          <w:tcPr>
            <w:tcW w:w="2591" w:type="dxa"/>
            <w:tcBorders>
              <w:top w:val="single" w:sz="8" w:space="0" w:color="000000"/>
              <w:left w:val="single" w:sz="8" w:space="0" w:color="000000"/>
              <w:bottom w:val="single" w:sz="8" w:space="0" w:color="000000"/>
              <w:right w:val="single" w:sz="8" w:space="0" w:color="000000"/>
            </w:tcBorders>
          </w:tcPr>
          <w:p>
            <w:pPr>
              <w:pStyle w:val="Normal"/>
              <w:widowControl w:val="false"/>
              <w:tabs>
                <w:tab w:val="clear" w:pos="708"/>
                <w:tab w:val="center" w:pos="4536" w:leader="none"/>
                <w:tab w:val="right" w:pos="9072" w:leader="none"/>
              </w:tabs>
              <w:rPr>
                <w:b/>
                <w:bCs/>
              </w:rPr>
            </w:pPr>
            <w:r>
              <w:rPr>
                <w:b/>
                <w:bCs/>
              </w:rPr>
              <w:t>Le mètre linéaire (en chiffres)</w:t>
            </w:r>
          </w:p>
          <w:p>
            <w:pPr>
              <w:pStyle w:val="Normal"/>
              <w:widowControl w:val="false"/>
              <w:tabs>
                <w:tab w:val="clear" w:pos="708"/>
                <w:tab w:val="center" w:pos="4536" w:leader="none"/>
                <w:tab w:val="right" w:pos="9072" w:leader="none"/>
              </w:tabs>
              <w:spacing w:before="0" w:after="120"/>
              <w:rPr>
                <w:b/>
                <w:bCs/>
              </w:rPr>
            </w:pPr>
            <w:r>
              <w:rPr>
                <w:b/>
                <w:bCs/>
              </w:rPr>
            </w:r>
          </w:p>
        </w:tc>
      </w:tr>
    </w:tbl>
    <w:p>
      <w:pPr>
        <w:pStyle w:val="Normal"/>
        <w:ind w:firstLine="708" w:left="0" w:right="0"/>
        <w:rPr/>
      </w:pPr>
      <w:r>
        <w:rPr/>
      </w:r>
    </w:p>
    <w:p>
      <w:pPr>
        <w:pStyle w:val="Normal"/>
        <w:ind w:firstLine="708" w:left="0" w:right="0"/>
        <w:rPr/>
        <w:sectPr>
          <w:headerReference w:type="default" r:id="rId22"/>
          <w:headerReference w:type="first" r:id="rId23"/>
          <w:footerReference w:type="default" r:id="rId24"/>
          <w:footerReference w:type="first" r:id="rId25"/>
          <w:type w:val="nextPage"/>
          <w:pgSz w:w="11906" w:h="16838"/>
          <w:pgMar w:left="1417" w:right="1417" w:gutter="0" w:header="708" w:top="1985" w:footer="292" w:bottom="1560"/>
          <w:pgNumType w:fmt="decimal"/>
          <w:formProt w:val="false"/>
          <w:textDirection w:val="lrTb"/>
          <w:docGrid w:type="default" w:linePitch="360" w:charSpace="16384"/>
        </w:sectPr>
      </w:pPr>
      <w:r>
        <w:rPr/>
      </w:r>
    </w:p>
    <w:p>
      <w:pPr>
        <w:pStyle w:val="Heading1"/>
        <w:numPr>
          <w:ilvl w:val="0"/>
          <w:numId w:val="29"/>
        </w:numPr>
        <w:rPr/>
      </w:pPr>
      <w:bookmarkStart w:id="45" w:name="__RefHeading___Toc8880_2322646747"/>
      <w:bookmarkStart w:id="46" w:name="_Toc221868248"/>
      <w:bookmarkEnd w:id="45"/>
      <w:r>
        <w:rPr/>
        <w:t xml:space="preserve">Travaux de dépose des verrières </w:t>
      </w:r>
      <w:bookmarkEnd w:id="46"/>
      <w:r>
        <w:rPr/>
        <w:t>supérieures</w:t>
      </w:r>
    </w:p>
    <w:tbl>
      <w:tblPr>
        <w:tblW w:w="9071" w:type="dxa"/>
        <w:jc w:val="left"/>
        <w:tblInd w:w="108" w:type="dxa"/>
        <w:tblLayout w:type="fixed"/>
        <w:tblCellMar>
          <w:top w:w="0" w:type="dxa"/>
          <w:left w:w="108" w:type="dxa"/>
          <w:bottom w:w="0" w:type="dxa"/>
          <w:right w:w="108" w:type="dxa"/>
        </w:tblCellMar>
      </w:tblPr>
      <w:tblGrid>
        <w:gridCol w:w="1259"/>
        <w:gridCol w:w="5221"/>
        <w:gridCol w:w="2591"/>
      </w:tblGrid>
      <w:tr>
        <w:trPr/>
        <w:tc>
          <w:tcPr>
            <w:tcW w:w="1259" w:type="dxa"/>
            <w:tcBorders>
              <w:top w:val="single" w:sz="8" w:space="0" w:color="000000"/>
              <w:left w:val="single" w:sz="8" w:space="0" w:color="000000"/>
              <w:bottom w:val="single" w:sz="8" w:space="0" w:color="000000"/>
              <w:right w:val="single" w:sz="8" w:space="0" w:color="000000"/>
            </w:tcBorders>
            <w:shd w:fill="009782" w:val="clear"/>
          </w:tcPr>
          <w:p>
            <w:pPr>
              <w:pStyle w:val="Normal"/>
              <w:widowControl w:val="false"/>
              <w:tabs>
                <w:tab w:val="clear" w:pos="708"/>
                <w:tab w:val="center" w:pos="4536" w:leader="none"/>
                <w:tab w:val="right" w:pos="9072" w:leader="none"/>
              </w:tabs>
              <w:spacing w:before="120" w:after="120"/>
              <w:jc w:val="center"/>
              <w:rPr>
                <w:b/>
                <w:bCs/>
                <w:i/>
                <w:color w:val="FFFFFF"/>
              </w:rPr>
            </w:pPr>
            <w:r>
              <w:rPr>
                <w:b/>
                <w:bCs/>
                <w:i/>
                <w:color w:val="FFFFFF"/>
              </w:rPr>
              <w:t>N° PRIX</w:t>
            </w:r>
          </w:p>
        </w:tc>
        <w:tc>
          <w:tcPr>
            <w:tcW w:w="7812" w:type="dxa"/>
            <w:gridSpan w:val="2"/>
            <w:tcBorders>
              <w:top w:val="single" w:sz="8" w:space="0" w:color="000000"/>
              <w:left w:val="single" w:sz="8" w:space="0" w:color="000000"/>
              <w:bottom w:val="single" w:sz="8" w:space="0" w:color="000000"/>
              <w:right w:val="single" w:sz="8" w:space="0" w:color="000000"/>
            </w:tcBorders>
            <w:shd w:fill="009782" w:val="clear"/>
            <w:vAlign w:val="center"/>
          </w:tcPr>
          <w:p>
            <w:pPr>
              <w:pStyle w:val="Normal"/>
              <w:widowControl w:val="false"/>
              <w:tabs>
                <w:tab w:val="clear" w:pos="708"/>
                <w:tab w:val="center" w:pos="4536" w:leader="none"/>
                <w:tab w:val="right" w:pos="9072" w:leader="none"/>
              </w:tabs>
              <w:spacing w:before="120" w:after="120"/>
              <w:jc w:val="center"/>
              <w:rPr>
                <w:b/>
                <w:bCs/>
                <w:i/>
                <w:color w:val="FFFFFF"/>
              </w:rPr>
            </w:pPr>
            <w:r>
              <w:rPr>
                <w:b/>
                <w:bCs/>
                <w:i/>
                <w:color w:val="FFFFFF"/>
              </w:rPr>
              <w:t>DESIGNATION DES OUVRAGES ET PRIX HORS TAXE</w:t>
            </w:r>
          </w:p>
        </w:tc>
      </w:tr>
      <w:tr>
        <w:trPr/>
        <w:tc>
          <w:tcPr>
            <w:tcW w:w="1259" w:type="dxa"/>
            <w:vMerge w:val="restart"/>
            <w:tcBorders>
              <w:top w:val="single" w:sz="8" w:space="0" w:color="000000"/>
              <w:left w:val="single" w:sz="8" w:space="0" w:color="000000"/>
              <w:bottom w:val="single" w:sz="8" w:space="0" w:color="000000"/>
              <w:right w:val="single" w:sz="8" w:space="0" w:color="000000"/>
            </w:tcBorders>
          </w:tcPr>
          <w:p>
            <w:pPr>
              <w:pStyle w:val="Normal"/>
              <w:widowControl w:val="false"/>
              <w:spacing w:before="0" w:after="120"/>
              <w:jc w:val="center"/>
              <w:rPr>
                <w:b/>
                <w:bCs/>
              </w:rPr>
            </w:pPr>
            <w:r>
              <w:rPr>
                <w:b/>
                <w:bCs/>
              </w:rPr>
              <w:t>501</w:t>
            </w:r>
          </w:p>
        </w:tc>
        <w:tc>
          <w:tcPr>
            <w:tcW w:w="7812" w:type="dxa"/>
            <w:gridSpan w:val="2"/>
            <w:tcBorders>
              <w:top w:val="single" w:sz="8" w:space="0" w:color="000000"/>
              <w:left w:val="single" w:sz="8" w:space="0" w:color="000000"/>
              <w:bottom w:val="single" w:sz="8" w:space="0" w:color="000000"/>
              <w:right w:val="single" w:sz="8" w:space="0" w:color="000000"/>
            </w:tcBorders>
            <w:vAlign w:val="center"/>
          </w:tcPr>
          <w:p>
            <w:pPr>
              <w:pStyle w:val="Normal"/>
              <w:widowControl w:val="false"/>
              <w:spacing w:before="0" w:after="0"/>
              <w:rPr>
                <w:b/>
                <w:bCs/>
                <w:smallCaps/>
                <w:color w:val="339966"/>
                <w:spacing w:val="-6"/>
                <w:sz w:val="24"/>
                <w:szCs w:val="24"/>
              </w:rPr>
            </w:pPr>
            <w:r>
              <w:rPr>
                <w:b/>
                <w:bCs/>
                <w:smallCaps/>
                <w:color w:val="339966"/>
                <w:spacing w:val="-6"/>
                <w:sz w:val="24"/>
                <w:szCs w:val="24"/>
              </w:rPr>
              <w:t>Dépose soignée et stockage de la grille de protection</w:t>
            </w:r>
          </w:p>
          <w:p>
            <w:pPr>
              <w:pStyle w:val="Normal"/>
              <w:widowControl w:val="false"/>
              <w:rPr/>
            </w:pPr>
            <w:r>
              <w:rPr/>
            </w:r>
          </w:p>
          <w:p>
            <w:pPr>
              <w:pStyle w:val="Normal"/>
              <w:widowControl w:val="false"/>
              <w:rPr/>
            </w:pPr>
            <w:r>
              <w:rPr/>
              <w:t>Ce prix rémunère, au forfait, la dépose soignée des grilles de protection des verrières supérieures et leur stockage temporaire, comprenant l’ensemble des opérations nécessaires pour garantir l’intégrité des éléments en vue de leur repose ultérieure.</w:t>
            </w:r>
          </w:p>
          <w:p>
            <w:pPr>
              <w:pStyle w:val="Normal"/>
              <w:widowControl w:val="false"/>
              <w:rPr/>
            </w:pPr>
            <w:r>
              <w:rPr/>
              <w:t>Il comprend notamment :</w:t>
            </w:r>
          </w:p>
          <w:p>
            <w:pPr>
              <w:pStyle w:val="ListParagraph"/>
              <w:widowControl w:val="false"/>
              <w:numPr>
                <w:ilvl w:val="0"/>
                <w:numId w:val="17"/>
              </w:numPr>
              <w:rPr/>
            </w:pPr>
            <w:r>
              <w:rPr/>
              <w:t>La sécurisation des zones d’intervention,</w:t>
            </w:r>
          </w:p>
          <w:p>
            <w:pPr>
              <w:pStyle w:val="ListParagraph"/>
              <w:widowControl w:val="false"/>
              <w:numPr>
                <w:ilvl w:val="0"/>
                <w:numId w:val="17"/>
              </w:numPr>
              <w:rPr>
                <w:b/>
                <w:bCs w:val="false"/>
              </w:rPr>
            </w:pPr>
            <w:r>
              <w:rPr>
                <w:b/>
                <w:bCs w:val="false"/>
              </w:rPr>
              <w:t>Tous les moyens de levage, quels qu’ils soient, nécessaires à l’exécution de la méthode et du phasage de dépose proposée par l’entrepreneur et validé par le maitre d’œuvre ;</w:t>
            </w:r>
          </w:p>
          <w:p>
            <w:pPr>
              <w:pStyle w:val="ListParagraph"/>
              <w:widowControl w:val="false"/>
              <w:numPr>
                <w:ilvl w:val="0"/>
                <w:numId w:val="17"/>
              </w:numPr>
              <w:rPr/>
            </w:pPr>
            <w:r>
              <w:rPr/>
              <w:t>La fourniture du personnel, des moyens de levage et matériels nécessaires ;</w:t>
            </w:r>
          </w:p>
          <w:p>
            <w:pPr>
              <w:pStyle w:val="ListParagraph"/>
              <w:widowControl w:val="false"/>
              <w:numPr>
                <w:ilvl w:val="0"/>
                <w:numId w:val="17"/>
              </w:numPr>
              <w:rPr/>
            </w:pPr>
            <w:r>
              <w:rPr/>
              <w:t>La dépose complète des grilles de protection existantes, sans détérioration ;</w:t>
            </w:r>
          </w:p>
          <w:p>
            <w:pPr>
              <w:pStyle w:val="ListParagraph"/>
              <w:widowControl w:val="false"/>
              <w:numPr>
                <w:ilvl w:val="0"/>
                <w:numId w:val="17"/>
              </w:numPr>
              <w:rPr/>
            </w:pPr>
            <w:r>
              <w:rPr/>
              <w:t>Le démontage des fixations, platines et cornières nécessaires ;</w:t>
            </w:r>
          </w:p>
          <w:p>
            <w:pPr>
              <w:pStyle w:val="ListParagraph"/>
              <w:widowControl w:val="false"/>
              <w:numPr>
                <w:ilvl w:val="0"/>
                <w:numId w:val="17"/>
              </w:numPr>
              <w:rPr/>
            </w:pPr>
            <w:r>
              <w:rPr/>
              <w:t>La manutention et le transport sécurisé des grilles vers la zone de stockage agréée par le maitre d’œuvre,</w:t>
            </w:r>
          </w:p>
          <w:p>
            <w:pPr>
              <w:pStyle w:val="ListParagraph"/>
              <w:widowControl w:val="false"/>
              <w:numPr>
                <w:ilvl w:val="0"/>
                <w:numId w:val="17"/>
              </w:numPr>
              <w:rPr/>
            </w:pPr>
            <w:r>
              <w:rPr/>
              <w:t>Le stockage en site sûr, hors circulation, sur support adapté pour éviter toute déformation ou dommage ;</w:t>
            </w:r>
          </w:p>
          <w:p>
            <w:pPr>
              <w:pStyle w:val="ListParagraph"/>
              <w:widowControl w:val="false"/>
              <w:numPr>
                <w:ilvl w:val="0"/>
                <w:numId w:val="17"/>
              </w:numPr>
              <w:rPr/>
            </w:pPr>
            <w:r>
              <w:rPr/>
              <w:t xml:space="preserve">Les frais de gardiennage des grilles déposée dans leur lieu de stockage jusqu’à leur repose ultérieure. </w:t>
            </w:r>
          </w:p>
          <w:p>
            <w:pPr>
              <w:pStyle w:val="ListParagraph"/>
              <w:widowControl w:val="false"/>
              <w:ind w:hanging="0" w:left="720" w:right="0"/>
              <w:rPr/>
            </w:pPr>
            <w:r>
              <w:rPr/>
            </w:r>
          </w:p>
          <w:p>
            <w:pPr>
              <w:pStyle w:val="Normal"/>
              <w:widowControl w:val="false"/>
              <w:rPr/>
            </w:pPr>
            <w:r>
              <w:rPr/>
              <w:t>En cas de dommage, détérioration, déformation ou perte des grilles pendant la dépose, le stockage ou la manipulation, tous les frais de réparation ou de remplacement seront entièrement à la charge de l’entrepreneur.</w:t>
            </w:r>
          </w:p>
          <w:p>
            <w:pPr>
              <w:pStyle w:val="Normal"/>
              <w:widowControl w:val="false"/>
              <w:rPr/>
            </w:pPr>
            <w:r>
              <w:rPr/>
              <w:t>Ce prix est réglé à 100% après dépose de la grille de protection des verrières et constat des conditions de stockage adaptées.</w:t>
            </w:r>
          </w:p>
          <w:p>
            <w:pPr>
              <w:pStyle w:val="Normal"/>
              <w:widowControl w:val="false"/>
              <w:spacing w:before="0" w:after="120"/>
              <w:rPr/>
            </w:pPr>
            <w:r>
              <w:rPr/>
            </w:r>
          </w:p>
        </w:tc>
      </w:tr>
      <w:tr>
        <w:trPr>
          <w:trHeight w:val="1304" w:hRule="atLeast"/>
        </w:trPr>
        <w:tc>
          <w:tcPr>
            <w:tcW w:w="1259" w:type="dxa"/>
            <w:vMerge w:val="continue"/>
            <w:tcBorders>
              <w:top w:val="single" w:sz="8" w:space="0" w:color="000000"/>
              <w:left w:val="single" w:sz="8" w:space="0" w:color="000000"/>
              <w:bottom w:val="single" w:sz="8" w:space="0" w:color="000000"/>
              <w:right w:val="single" w:sz="8" w:space="0" w:color="000000"/>
            </w:tcBorders>
            <w:vAlign w:val="center"/>
          </w:tcPr>
          <w:p>
            <w:pPr>
              <w:pStyle w:val="Normal"/>
              <w:widowControl/>
              <w:suppressAutoHyphens w:val="true"/>
              <w:bidi w:val="0"/>
              <w:spacing w:before="0" w:after="120"/>
              <w:jc w:val="both"/>
              <w:rPr/>
            </w:pPr>
            <w:r>
              <w:rPr/>
            </w:r>
          </w:p>
        </w:tc>
        <w:tc>
          <w:tcPr>
            <w:tcW w:w="5221" w:type="dxa"/>
            <w:tcBorders>
              <w:top w:val="single" w:sz="8" w:space="0" w:color="000000"/>
              <w:left w:val="single" w:sz="8" w:space="0" w:color="000000"/>
              <w:bottom w:val="single" w:sz="8" w:space="0" w:color="000000"/>
              <w:right w:val="single" w:sz="8" w:space="0" w:color="000000"/>
            </w:tcBorders>
          </w:tcPr>
          <w:p>
            <w:pPr>
              <w:pStyle w:val="Normal"/>
              <w:widowControl w:val="false"/>
              <w:tabs>
                <w:tab w:val="clear" w:pos="708"/>
                <w:tab w:val="center" w:pos="4536" w:leader="none"/>
                <w:tab w:val="right" w:pos="9072" w:leader="none"/>
              </w:tabs>
              <w:rPr>
                <w:b/>
                <w:bCs/>
              </w:rPr>
            </w:pPr>
            <w:r>
              <w:rPr>
                <w:b/>
                <w:bCs/>
              </w:rPr>
              <w:t>Le forfait (en lettres)</w:t>
            </w:r>
          </w:p>
          <w:p>
            <w:pPr>
              <w:pStyle w:val="Normal"/>
              <w:widowControl w:val="false"/>
              <w:tabs>
                <w:tab w:val="clear" w:pos="708"/>
                <w:tab w:val="center" w:pos="4536" w:leader="none"/>
                <w:tab w:val="right" w:pos="9072" w:leader="none"/>
              </w:tabs>
              <w:spacing w:before="0" w:after="120"/>
              <w:jc w:val="left"/>
              <w:rPr/>
            </w:pPr>
            <w:r>
              <w:rPr/>
            </w:r>
          </w:p>
        </w:tc>
        <w:tc>
          <w:tcPr>
            <w:tcW w:w="2591" w:type="dxa"/>
            <w:tcBorders>
              <w:top w:val="single" w:sz="8" w:space="0" w:color="000000"/>
              <w:left w:val="single" w:sz="8" w:space="0" w:color="000000"/>
              <w:bottom w:val="single" w:sz="8" w:space="0" w:color="000000"/>
              <w:right w:val="single" w:sz="8" w:space="0" w:color="000000"/>
            </w:tcBorders>
          </w:tcPr>
          <w:p>
            <w:pPr>
              <w:pStyle w:val="Normal"/>
              <w:widowControl w:val="false"/>
              <w:tabs>
                <w:tab w:val="clear" w:pos="708"/>
                <w:tab w:val="center" w:pos="4536" w:leader="none"/>
                <w:tab w:val="right" w:pos="9072" w:leader="none"/>
              </w:tabs>
              <w:jc w:val="left"/>
              <w:rPr>
                <w:b/>
                <w:bCs/>
              </w:rPr>
            </w:pPr>
            <w:r>
              <w:rPr>
                <w:b/>
                <w:bCs/>
              </w:rPr>
              <w:t>Le forfait (en chiffres)</w:t>
            </w:r>
          </w:p>
          <w:p>
            <w:pPr>
              <w:pStyle w:val="Normal"/>
              <w:widowControl w:val="false"/>
              <w:tabs>
                <w:tab w:val="clear" w:pos="708"/>
                <w:tab w:val="center" w:pos="4536" w:leader="none"/>
                <w:tab w:val="right" w:pos="9072" w:leader="none"/>
              </w:tabs>
              <w:spacing w:before="0" w:after="120"/>
              <w:jc w:val="left"/>
              <w:rPr/>
            </w:pPr>
            <w:r>
              <w:rPr/>
            </w:r>
          </w:p>
        </w:tc>
      </w:tr>
    </w:tbl>
    <w:p>
      <w:pPr>
        <w:sectPr>
          <w:headerReference w:type="default" r:id="rId26"/>
          <w:headerReference w:type="first" r:id="rId27"/>
          <w:footerReference w:type="default" r:id="rId28"/>
          <w:footerReference w:type="first" r:id="rId29"/>
          <w:type w:val="nextPage"/>
          <w:pgSz w:w="11906" w:h="16838"/>
          <w:pgMar w:left="1417" w:right="1417" w:gutter="0" w:header="708" w:top="1985" w:footer="292" w:bottom="1560"/>
          <w:pgNumType w:fmt="decimal"/>
          <w:formProt w:val="false"/>
          <w:textDirection w:val="lrTb"/>
          <w:docGrid w:type="default" w:linePitch="360" w:charSpace="16384"/>
        </w:sectPr>
      </w:pPr>
    </w:p>
    <w:p>
      <w:pPr>
        <w:pStyle w:val="Normal"/>
        <w:rPr/>
      </w:pPr>
      <w:r>
        <w:rPr/>
      </w:r>
    </w:p>
    <w:tbl>
      <w:tblPr>
        <w:tblW w:w="9071" w:type="dxa"/>
        <w:jc w:val="left"/>
        <w:tblInd w:w="108" w:type="dxa"/>
        <w:tblLayout w:type="fixed"/>
        <w:tblCellMar>
          <w:top w:w="0" w:type="dxa"/>
          <w:left w:w="108" w:type="dxa"/>
          <w:bottom w:w="0" w:type="dxa"/>
          <w:right w:w="108" w:type="dxa"/>
        </w:tblCellMar>
      </w:tblPr>
      <w:tblGrid>
        <w:gridCol w:w="1259"/>
        <w:gridCol w:w="5221"/>
        <w:gridCol w:w="2591"/>
      </w:tblGrid>
      <w:tr>
        <w:trPr/>
        <w:tc>
          <w:tcPr>
            <w:tcW w:w="1259" w:type="dxa"/>
            <w:tcBorders>
              <w:top w:val="single" w:sz="8" w:space="0" w:color="000000"/>
              <w:left w:val="single" w:sz="8" w:space="0" w:color="000000"/>
              <w:bottom w:val="single" w:sz="8" w:space="0" w:color="000000"/>
              <w:right w:val="single" w:sz="8" w:space="0" w:color="000000"/>
            </w:tcBorders>
            <w:shd w:fill="009782" w:val="clear"/>
          </w:tcPr>
          <w:p>
            <w:pPr>
              <w:pStyle w:val="Normal"/>
              <w:widowControl w:val="false"/>
              <w:tabs>
                <w:tab w:val="clear" w:pos="708"/>
                <w:tab w:val="center" w:pos="4536" w:leader="none"/>
                <w:tab w:val="right" w:pos="9072" w:leader="none"/>
              </w:tabs>
              <w:spacing w:before="120" w:after="120"/>
              <w:jc w:val="center"/>
              <w:rPr>
                <w:b/>
                <w:bCs/>
                <w:i/>
                <w:color w:val="FFFFFF"/>
              </w:rPr>
            </w:pPr>
            <w:r>
              <w:rPr>
                <w:b/>
                <w:bCs/>
                <w:i/>
                <w:color w:val="FFFFFF"/>
              </w:rPr>
              <w:t>N° PRIX</w:t>
            </w:r>
          </w:p>
        </w:tc>
        <w:tc>
          <w:tcPr>
            <w:tcW w:w="7812" w:type="dxa"/>
            <w:gridSpan w:val="2"/>
            <w:tcBorders>
              <w:top w:val="single" w:sz="8" w:space="0" w:color="000000"/>
              <w:left w:val="single" w:sz="8" w:space="0" w:color="000000"/>
              <w:bottom w:val="single" w:sz="8" w:space="0" w:color="000000"/>
              <w:right w:val="single" w:sz="8" w:space="0" w:color="000000"/>
            </w:tcBorders>
            <w:shd w:fill="009782" w:val="clear"/>
            <w:vAlign w:val="center"/>
          </w:tcPr>
          <w:p>
            <w:pPr>
              <w:pStyle w:val="Normal"/>
              <w:widowControl w:val="false"/>
              <w:tabs>
                <w:tab w:val="clear" w:pos="708"/>
                <w:tab w:val="center" w:pos="4536" w:leader="none"/>
                <w:tab w:val="right" w:pos="9072" w:leader="none"/>
              </w:tabs>
              <w:spacing w:before="120" w:after="120"/>
              <w:jc w:val="center"/>
              <w:rPr>
                <w:b/>
                <w:bCs/>
                <w:i/>
                <w:color w:val="FFFFFF"/>
              </w:rPr>
            </w:pPr>
            <w:r>
              <w:rPr>
                <w:b/>
                <w:bCs/>
                <w:i/>
                <w:color w:val="FFFFFF"/>
              </w:rPr>
              <w:t>DESIGNATION DES OUVRAGES ET PRIX HORS TAXE</w:t>
            </w:r>
          </w:p>
        </w:tc>
      </w:tr>
      <w:tr>
        <w:trPr/>
        <w:tc>
          <w:tcPr>
            <w:tcW w:w="1259" w:type="dxa"/>
            <w:vMerge w:val="restart"/>
            <w:tcBorders>
              <w:top w:val="single" w:sz="8" w:space="0" w:color="000000"/>
              <w:left w:val="single" w:sz="8" w:space="0" w:color="000000"/>
              <w:bottom w:val="single" w:sz="8" w:space="0" w:color="000000"/>
              <w:right w:val="single" w:sz="8" w:space="0" w:color="000000"/>
            </w:tcBorders>
          </w:tcPr>
          <w:p>
            <w:pPr>
              <w:pStyle w:val="Normal"/>
              <w:widowControl w:val="false"/>
              <w:spacing w:before="0" w:after="120"/>
              <w:jc w:val="center"/>
              <w:rPr>
                <w:b/>
                <w:bCs/>
              </w:rPr>
            </w:pPr>
            <w:r>
              <w:rPr>
                <w:b/>
                <w:bCs/>
              </w:rPr>
              <w:t>502</w:t>
            </w:r>
          </w:p>
        </w:tc>
        <w:tc>
          <w:tcPr>
            <w:tcW w:w="7812" w:type="dxa"/>
            <w:gridSpan w:val="2"/>
            <w:tcBorders>
              <w:top w:val="single" w:sz="8" w:space="0" w:color="000000"/>
              <w:left w:val="single" w:sz="8" w:space="0" w:color="000000"/>
              <w:bottom w:val="single" w:sz="8" w:space="0" w:color="000000"/>
              <w:right w:val="single" w:sz="8" w:space="0" w:color="000000"/>
            </w:tcBorders>
            <w:vAlign w:val="center"/>
          </w:tcPr>
          <w:p>
            <w:pPr>
              <w:pStyle w:val="Normal"/>
              <w:widowControl w:val="false"/>
              <w:rPr>
                <w:b/>
                <w:bCs/>
                <w:smallCaps/>
                <w:color w:val="339966"/>
                <w:spacing w:val="-6"/>
                <w:sz w:val="24"/>
                <w:szCs w:val="24"/>
              </w:rPr>
            </w:pPr>
            <w:r>
              <w:rPr>
                <w:b/>
                <w:bCs/>
                <w:smallCaps/>
                <w:color w:val="339966"/>
                <w:spacing w:val="-6"/>
                <w:sz w:val="24"/>
                <w:szCs w:val="24"/>
              </w:rPr>
              <w:t xml:space="preserve">dépose des verrières supérieures y compris support métallique </w:t>
            </w:r>
          </w:p>
          <w:p>
            <w:pPr>
              <w:pStyle w:val="Normal"/>
              <w:widowControl w:val="false"/>
              <w:rPr/>
            </w:pPr>
            <w:r>
              <w:rPr/>
              <w:t>Ce prix rémunère, à l’unité, la purge des verrières supérieures, conformément aux prescriptions définies dans les CCTP.</w:t>
            </w:r>
          </w:p>
          <w:p>
            <w:pPr>
              <w:pStyle w:val="Normal"/>
              <w:widowControl w:val="false"/>
              <w:rPr/>
            </w:pPr>
            <w:r>
              <w:rPr/>
              <w:t>L’unité correspond à un panneau de verre de dimensions courantes 620mmx3350mm, y compris ses supports métalliques, telles qu’indiquées sur les plans joints DCE.</w:t>
            </w:r>
          </w:p>
          <w:p>
            <w:pPr>
              <w:pStyle w:val="Normal"/>
              <w:widowControl w:val="false"/>
              <w:rPr/>
            </w:pPr>
            <w:r>
              <w:rPr/>
              <w:t>La dépose des verrières supérieures se fait depuis l’extrados.</w:t>
            </w:r>
          </w:p>
          <w:p>
            <w:pPr>
              <w:pStyle w:val="Normal"/>
              <w:widowControl w:val="false"/>
              <w:rPr/>
            </w:pPr>
            <w:r>
              <w:rPr/>
            </w:r>
          </w:p>
          <w:p>
            <w:pPr>
              <w:pStyle w:val="Normal"/>
              <w:widowControl w:val="false"/>
              <w:rPr/>
            </w:pPr>
            <w:r>
              <w:rPr/>
              <w:t>Ce prix comprend notamment :</w:t>
            </w:r>
          </w:p>
          <w:p>
            <w:pPr>
              <w:pStyle w:val="ListParagraph"/>
              <w:widowControl w:val="false"/>
              <w:numPr>
                <w:ilvl w:val="0"/>
                <w:numId w:val="17"/>
              </w:numPr>
              <w:rPr/>
            </w:pPr>
            <w:r>
              <w:rPr/>
              <w:t>La mise à disposition ou la fourniture, l'amenée et l'installation complète des matériels et du personnel nécessaires à cette opération ;</w:t>
            </w:r>
          </w:p>
          <w:p>
            <w:pPr>
              <w:pStyle w:val="ListParagraph"/>
              <w:widowControl w:val="false"/>
              <w:numPr>
                <w:ilvl w:val="0"/>
                <w:numId w:val="17"/>
              </w:numPr>
              <w:rPr/>
            </w:pPr>
            <w:r>
              <w:rPr/>
              <w:t>La protection de la zone de travaux ;</w:t>
            </w:r>
          </w:p>
          <w:p>
            <w:pPr>
              <w:pStyle w:val="ListParagraph"/>
              <w:widowControl w:val="false"/>
              <w:numPr>
                <w:ilvl w:val="0"/>
                <w:numId w:val="17"/>
              </w:numPr>
              <w:rPr>
                <w:b/>
                <w:bCs w:val="false"/>
              </w:rPr>
            </w:pPr>
            <w:r>
              <w:rPr>
                <w:b/>
                <w:bCs w:val="false"/>
              </w:rPr>
              <w:t>La création de voies d’accès et de plateformes adaptées aux équipements de levage prévus pour la dépose des verrières ;</w:t>
            </w:r>
          </w:p>
          <w:p>
            <w:pPr>
              <w:pStyle w:val="ListParagraph"/>
              <w:widowControl w:val="false"/>
              <w:numPr>
                <w:ilvl w:val="0"/>
                <w:numId w:val="17"/>
              </w:numPr>
              <w:rPr/>
            </w:pPr>
            <w:r>
              <w:rPr>
                <w:b/>
                <w:bCs w:val="false"/>
              </w:rPr>
              <w:t>la mobilisation du nombre d’ateliers, d’équipes et de moyens matériels nécessaires, ainsi que l’adaptation des cadences d’exécution permettant de respecter les délais d’intervention impartis au marché</w:t>
            </w:r>
            <w:r>
              <w:rPr>
                <w:b/>
              </w:rPr>
              <w:t>,</w:t>
            </w:r>
          </w:p>
          <w:p>
            <w:pPr>
              <w:pStyle w:val="ListParagraph"/>
              <w:widowControl w:val="false"/>
              <w:numPr>
                <w:ilvl w:val="0"/>
                <w:numId w:val="17"/>
              </w:numPr>
              <w:rPr>
                <w:b/>
                <w:bCs w:val="false"/>
              </w:rPr>
            </w:pPr>
            <w:r>
              <w:rPr>
                <w:b/>
                <w:bCs w:val="false"/>
              </w:rPr>
              <w:t>Tous les moyens de levage, quels qu’ils soient, nécessaires à l’exécution de la méthode et du phasage de dépose proposée par l’entrepreneur et validé par le maitre d’œuvre ;</w:t>
            </w:r>
          </w:p>
          <w:p>
            <w:pPr>
              <w:pStyle w:val="ListParagraph"/>
              <w:widowControl w:val="false"/>
              <w:numPr>
                <w:ilvl w:val="0"/>
                <w:numId w:val="17"/>
              </w:numPr>
              <w:rPr/>
            </w:pPr>
            <w:r>
              <w:rPr/>
              <w:t>La dépose soignée des panneaux de verres armés supérieurs ;</w:t>
            </w:r>
          </w:p>
          <w:p>
            <w:pPr>
              <w:pStyle w:val="ListParagraph"/>
              <w:widowControl w:val="false"/>
              <w:numPr>
                <w:ilvl w:val="0"/>
                <w:numId w:val="17"/>
              </w:numPr>
              <w:rPr/>
            </w:pPr>
            <w:r>
              <w:rPr/>
              <w:t>La dépose du système métallique servant de support,</w:t>
            </w:r>
          </w:p>
          <w:p>
            <w:pPr>
              <w:pStyle w:val="ListParagraph"/>
              <w:widowControl w:val="false"/>
              <w:numPr>
                <w:ilvl w:val="0"/>
                <w:numId w:val="17"/>
              </w:numPr>
              <w:rPr/>
            </w:pPr>
            <w:r>
              <w:rPr/>
              <w:t>L’évacuation des éléments déposés ;</w:t>
            </w:r>
          </w:p>
          <w:p>
            <w:pPr>
              <w:pStyle w:val="ListParagraph"/>
              <w:widowControl w:val="false"/>
              <w:numPr>
                <w:ilvl w:val="0"/>
                <w:numId w:val="17"/>
              </w:numPr>
              <w:rPr/>
            </w:pPr>
            <w:r>
              <w:rPr/>
              <w:t>Le traitement des déchets ;</w:t>
            </w:r>
          </w:p>
          <w:p>
            <w:pPr>
              <w:pStyle w:val="ListParagraph"/>
              <w:widowControl w:val="false"/>
              <w:numPr>
                <w:ilvl w:val="0"/>
                <w:numId w:val="17"/>
              </w:numPr>
              <w:rPr/>
            </w:pPr>
            <w:r>
              <w:rPr/>
              <w:t>Le nettoyage après travaux ;</w:t>
            </w:r>
          </w:p>
          <w:p>
            <w:pPr>
              <w:pStyle w:val="Normal"/>
              <w:widowControl w:val="false"/>
              <w:rPr/>
            </w:pPr>
            <w:r>
              <w:rPr/>
            </w:r>
          </w:p>
          <w:p>
            <w:pPr>
              <w:pStyle w:val="Normal"/>
              <w:widowControl w:val="false"/>
              <w:rPr/>
            </w:pPr>
            <w:r>
              <w:rPr/>
              <w:t>Toute verrière lâche ou brisée sera considérée comme un élément distinct et fera l’objet d’une dépose intégrale</w:t>
            </w:r>
            <w:r>
              <w:rPr>
                <w:b/>
                <w:bCs/>
              </w:rPr>
              <w:t>.</w:t>
            </w:r>
          </w:p>
          <w:p>
            <w:pPr>
              <w:pStyle w:val="Normal"/>
              <w:widowControl w:val="false"/>
              <w:rPr/>
            </w:pPr>
            <w:r>
              <w:rPr/>
            </w:r>
          </w:p>
          <w:p>
            <w:pPr>
              <w:pStyle w:val="Normal"/>
              <w:widowControl w:val="false"/>
              <w:rPr/>
            </w:pPr>
            <w:r>
              <w:rPr/>
              <w:t>Ce prix est réglé mensuellement sur décompte des quantités déposées.</w:t>
            </w:r>
          </w:p>
          <w:p>
            <w:pPr>
              <w:pStyle w:val="Normal"/>
              <w:widowControl w:val="false"/>
              <w:spacing w:before="0" w:after="120"/>
              <w:rPr/>
            </w:pPr>
            <w:r>
              <w:rPr/>
            </w:r>
          </w:p>
        </w:tc>
      </w:tr>
      <w:tr>
        <w:trPr>
          <w:trHeight w:val="1304" w:hRule="atLeast"/>
        </w:trPr>
        <w:tc>
          <w:tcPr>
            <w:tcW w:w="1259" w:type="dxa"/>
            <w:vMerge w:val="continue"/>
            <w:tcBorders>
              <w:top w:val="single" w:sz="8" w:space="0" w:color="000000"/>
              <w:left w:val="single" w:sz="8" w:space="0" w:color="000000"/>
              <w:bottom w:val="single" w:sz="8" w:space="0" w:color="000000"/>
              <w:right w:val="single" w:sz="8" w:space="0" w:color="000000"/>
            </w:tcBorders>
            <w:vAlign w:val="center"/>
          </w:tcPr>
          <w:p>
            <w:pPr>
              <w:pStyle w:val="Normal"/>
              <w:widowControl/>
              <w:suppressAutoHyphens w:val="true"/>
              <w:bidi w:val="0"/>
              <w:spacing w:before="0" w:after="120"/>
              <w:jc w:val="both"/>
              <w:rPr/>
            </w:pPr>
            <w:r>
              <w:rPr/>
            </w:r>
          </w:p>
        </w:tc>
        <w:tc>
          <w:tcPr>
            <w:tcW w:w="5221" w:type="dxa"/>
            <w:tcBorders>
              <w:top w:val="single" w:sz="8" w:space="0" w:color="000000"/>
              <w:left w:val="single" w:sz="8" w:space="0" w:color="000000"/>
              <w:bottom w:val="single" w:sz="8" w:space="0" w:color="000000"/>
              <w:right w:val="single" w:sz="8" w:space="0" w:color="000000"/>
            </w:tcBorders>
          </w:tcPr>
          <w:p>
            <w:pPr>
              <w:pStyle w:val="Normal"/>
              <w:widowControl w:val="false"/>
              <w:tabs>
                <w:tab w:val="clear" w:pos="708"/>
                <w:tab w:val="center" w:pos="4536" w:leader="none"/>
                <w:tab w:val="right" w:pos="9072" w:leader="none"/>
              </w:tabs>
              <w:rPr>
                <w:b/>
                <w:bCs/>
              </w:rPr>
            </w:pPr>
            <w:r>
              <w:rPr>
                <w:b/>
                <w:bCs/>
              </w:rPr>
              <w:t>L’unité (en lettres)</w:t>
            </w:r>
          </w:p>
          <w:p>
            <w:pPr>
              <w:pStyle w:val="Normal"/>
              <w:widowControl w:val="false"/>
              <w:tabs>
                <w:tab w:val="clear" w:pos="708"/>
                <w:tab w:val="center" w:pos="4536" w:leader="none"/>
                <w:tab w:val="right" w:pos="9072" w:leader="none"/>
              </w:tabs>
              <w:spacing w:before="0" w:after="120"/>
              <w:jc w:val="left"/>
              <w:rPr/>
            </w:pPr>
            <w:r>
              <w:rPr/>
            </w:r>
          </w:p>
        </w:tc>
        <w:tc>
          <w:tcPr>
            <w:tcW w:w="2591" w:type="dxa"/>
            <w:tcBorders>
              <w:top w:val="single" w:sz="8" w:space="0" w:color="000000"/>
              <w:left w:val="single" w:sz="8" w:space="0" w:color="000000"/>
              <w:bottom w:val="single" w:sz="8" w:space="0" w:color="000000"/>
              <w:right w:val="single" w:sz="8" w:space="0" w:color="000000"/>
            </w:tcBorders>
          </w:tcPr>
          <w:p>
            <w:pPr>
              <w:pStyle w:val="Normal"/>
              <w:widowControl w:val="false"/>
              <w:tabs>
                <w:tab w:val="clear" w:pos="708"/>
                <w:tab w:val="center" w:pos="4536" w:leader="none"/>
                <w:tab w:val="right" w:pos="9072" w:leader="none"/>
              </w:tabs>
              <w:jc w:val="left"/>
              <w:rPr>
                <w:b/>
                <w:bCs/>
              </w:rPr>
            </w:pPr>
            <w:r>
              <w:rPr>
                <w:b/>
                <w:bCs/>
              </w:rPr>
              <w:t>L’unité (en chiffres)</w:t>
            </w:r>
          </w:p>
          <w:p>
            <w:pPr>
              <w:pStyle w:val="Normal"/>
              <w:widowControl w:val="false"/>
              <w:tabs>
                <w:tab w:val="clear" w:pos="708"/>
                <w:tab w:val="center" w:pos="4536" w:leader="none"/>
                <w:tab w:val="right" w:pos="9072" w:leader="none"/>
              </w:tabs>
              <w:spacing w:before="0" w:after="120"/>
              <w:jc w:val="left"/>
              <w:rPr/>
            </w:pPr>
            <w:r>
              <w:rPr/>
            </w:r>
          </w:p>
        </w:tc>
      </w:tr>
    </w:tbl>
    <w:p>
      <w:pPr>
        <w:pStyle w:val="Normal"/>
        <w:tabs>
          <w:tab w:val="clear" w:pos="708"/>
          <w:tab w:val="left" w:pos="1013" w:leader="none"/>
        </w:tabs>
        <w:rPr/>
      </w:pPr>
      <w:r>
        <w:rPr/>
      </w:r>
    </w:p>
    <w:p>
      <w:pPr>
        <w:pStyle w:val="Normal"/>
        <w:tabs>
          <w:tab w:val="clear" w:pos="708"/>
          <w:tab w:val="left" w:pos="1013" w:leader="none"/>
        </w:tabs>
        <w:rPr/>
      </w:pPr>
      <w:r>
        <w:rPr/>
      </w:r>
    </w:p>
    <w:p>
      <w:pPr>
        <w:pStyle w:val="Normal"/>
        <w:tabs>
          <w:tab w:val="clear" w:pos="708"/>
          <w:tab w:val="left" w:pos="1013" w:leader="none"/>
        </w:tabs>
        <w:rPr/>
      </w:pPr>
      <w:r>
        <w:rPr/>
      </w:r>
    </w:p>
    <w:p>
      <w:pPr>
        <w:pStyle w:val="Normal"/>
        <w:tabs>
          <w:tab w:val="clear" w:pos="708"/>
          <w:tab w:val="left" w:pos="1013" w:leader="none"/>
        </w:tabs>
        <w:rPr/>
        <w:sectPr>
          <w:headerReference w:type="default" r:id="rId30"/>
          <w:headerReference w:type="first" r:id="rId31"/>
          <w:footerReference w:type="default" r:id="rId32"/>
          <w:footerReference w:type="first" r:id="rId33"/>
          <w:type w:val="nextPage"/>
          <w:pgSz w:w="11906" w:h="16838"/>
          <w:pgMar w:left="1417" w:right="1417" w:gutter="0" w:header="708" w:top="1985" w:footer="292" w:bottom="1560"/>
          <w:pgNumType w:fmt="decimal"/>
          <w:formProt w:val="false"/>
          <w:textDirection w:val="lrTb"/>
          <w:docGrid w:type="default" w:linePitch="360" w:charSpace="16384"/>
        </w:sectPr>
      </w:pPr>
      <w:r>
        <w:rPr/>
      </w:r>
    </w:p>
    <w:p>
      <w:pPr>
        <w:pStyle w:val="Heading1"/>
        <w:numPr>
          <w:ilvl w:val="0"/>
          <w:numId w:val="30"/>
        </w:numPr>
        <w:rPr/>
      </w:pPr>
      <w:bookmarkStart w:id="55" w:name="__RefHeading___Toc8882_2322646747"/>
      <w:bookmarkStart w:id="56" w:name="_Toc221868249"/>
      <w:bookmarkEnd w:id="55"/>
      <w:r>
        <w:rPr/>
        <w:t>Travaux de mise en œuvre du nouveau système anti-bruit</w:t>
      </w:r>
      <w:bookmarkEnd w:id="56"/>
    </w:p>
    <w:tbl>
      <w:tblPr>
        <w:tblW w:w="9071" w:type="dxa"/>
        <w:jc w:val="left"/>
        <w:tblInd w:w="108" w:type="dxa"/>
        <w:tblLayout w:type="fixed"/>
        <w:tblCellMar>
          <w:top w:w="0" w:type="dxa"/>
          <w:left w:w="108" w:type="dxa"/>
          <w:bottom w:w="0" w:type="dxa"/>
          <w:right w:w="108" w:type="dxa"/>
        </w:tblCellMar>
      </w:tblPr>
      <w:tblGrid>
        <w:gridCol w:w="1259"/>
        <w:gridCol w:w="5221"/>
        <w:gridCol w:w="2591"/>
      </w:tblGrid>
      <w:tr>
        <w:trPr/>
        <w:tc>
          <w:tcPr>
            <w:tcW w:w="1259" w:type="dxa"/>
            <w:tcBorders>
              <w:top w:val="single" w:sz="8" w:space="0" w:color="000000"/>
              <w:left w:val="single" w:sz="8" w:space="0" w:color="000000"/>
              <w:bottom w:val="single" w:sz="8" w:space="0" w:color="000000"/>
              <w:right w:val="single" w:sz="8" w:space="0" w:color="000000"/>
            </w:tcBorders>
            <w:shd w:fill="009782" w:val="clear"/>
          </w:tcPr>
          <w:p>
            <w:pPr>
              <w:pStyle w:val="Normal"/>
              <w:widowControl w:val="false"/>
              <w:tabs>
                <w:tab w:val="clear" w:pos="708"/>
                <w:tab w:val="center" w:pos="4536" w:leader="none"/>
                <w:tab w:val="right" w:pos="9072" w:leader="none"/>
              </w:tabs>
              <w:spacing w:before="120" w:after="120"/>
              <w:jc w:val="center"/>
              <w:rPr>
                <w:b/>
                <w:bCs/>
                <w:i/>
                <w:color w:val="FFFFFF"/>
              </w:rPr>
            </w:pPr>
            <w:r>
              <w:rPr>
                <w:b/>
                <w:bCs/>
                <w:i/>
                <w:color w:val="FFFFFF"/>
              </w:rPr>
              <w:t>N° PRIX</w:t>
            </w:r>
          </w:p>
        </w:tc>
        <w:tc>
          <w:tcPr>
            <w:tcW w:w="7812" w:type="dxa"/>
            <w:gridSpan w:val="2"/>
            <w:tcBorders>
              <w:top w:val="single" w:sz="8" w:space="0" w:color="000000"/>
              <w:left w:val="single" w:sz="8" w:space="0" w:color="000000"/>
              <w:bottom w:val="single" w:sz="8" w:space="0" w:color="000000"/>
              <w:right w:val="single" w:sz="8" w:space="0" w:color="000000"/>
            </w:tcBorders>
            <w:shd w:fill="009782" w:val="clear"/>
            <w:vAlign w:val="center"/>
          </w:tcPr>
          <w:p>
            <w:pPr>
              <w:pStyle w:val="Normal"/>
              <w:widowControl w:val="false"/>
              <w:tabs>
                <w:tab w:val="clear" w:pos="708"/>
                <w:tab w:val="center" w:pos="4536" w:leader="none"/>
                <w:tab w:val="right" w:pos="9072" w:leader="none"/>
              </w:tabs>
              <w:spacing w:before="120" w:after="120"/>
              <w:jc w:val="center"/>
              <w:rPr>
                <w:b/>
                <w:bCs/>
                <w:i/>
                <w:color w:val="FFFFFF"/>
              </w:rPr>
            </w:pPr>
            <w:r>
              <w:rPr>
                <w:b/>
                <w:bCs/>
                <w:i/>
                <w:color w:val="FFFFFF"/>
              </w:rPr>
              <w:t>DESIGNATION DES OUVRAGES ET PRIX HORS TAXE</w:t>
            </w:r>
          </w:p>
        </w:tc>
      </w:tr>
      <w:tr>
        <w:trPr/>
        <w:tc>
          <w:tcPr>
            <w:tcW w:w="1259" w:type="dxa"/>
            <w:vMerge w:val="restart"/>
            <w:tcBorders>
              <w:top w:val="single" w:sz="8" w:space="0" w:color="000000"/>
              <w:left w:val="single" w:sz="8" w:space="0" w:color="000000"/>
              <w:bottom w:val="single" w:sz="8" w:space="0" w:color="000000"/>
              <w:right w:val="single" w:sz="8" w:space="0" w:color="000000"/>
            </w:tcBorders>
          </w:tcPr>
          <w:p>
            <w:pPr>
              <w:pStyle w:val="Normal"/>
              <w:widowControl w:val="false"/>
              <w:spacing w:before="0" w:after="120"/>
              <w:jc w:val="center"/>
              <w:rPr>
                <w:b/>
                <w:bCs/>
              </w:rPr>
            </w:pPr>
            <w:r>
              <w:rPr>
                <w:b/>
                <w:bCs/>
              </w:rPr>
              <w:t>601</w:t>
            </w:r>
          </w:p>
        </w:tc>
        <w:tc>
          <w:tcPr>
            <w:tcW w:w="7812" w:type="dxa"/>
            <w:gridSpan w:val="2"/>
            <w:tcBorders>
              <w:top w:val="single" w:sz="8" w:space="0" w:color="000000"/>
              <w:left w:val="single" w:sz="8" w:space="0" w:color="000000"/>
              <w:bottom w:val="single" w:sz="8" w:space="0" w:color="000000"/>
              <w:right w:val="single" w:sz="8" w:space="0" w:color="000000"/>
            </w:tcBorders>
            <w:vAlign w:val="center"/>
          </w:tcPr>
          <w:p>
            <w:pPr>
              <w:pStyle w:val="Normal"/>
              <w:widowControl w:val="false"/>
              <w:rPr>
                <w:b/>
                <w:bCs/>
                <w:smallCaps/>
                <w:color w:val="339966"/>
                <w:spacing w:val="-6"/>
                <w:sz w:val="24"/>
                <w:szCs w:val="24"/>
              </w:rPr>
            </w:pPr>
            <w:r>
              <w:rPr>
                <w:b/>
                <w:bCs/>
                <w:smallCaps/>
                <w:color w:val="339966"/>
                <w:spacing w:val="-6"/>
                <w:sz w:val="24"/>
                <w:szCs w:val="24"/>
              </w:rPr>
              <w:t>Fourniture de l'ossature métallique support des panneaux double vitrage du nouveau système anti-bruit y compris ancrage</w:t>
            </w:r>
          </w:p>
          <w:p>
            <w:pPr>
              <w:pStyle w:val="Normal"/>
              <w:widowControl w:val="false"/>
              <w:rPr/>
            </w:pPr>
            <w:r>
              <w:rPr/>
              <w:t>Ce prix rémunère, au kilogramme, la fourniture de l’ossature métallique servant de support des panneaux de double vitrage du système de protection antibruit y compris ancrage et dispositif de fixation, conformément aux plans d’exécution et aux notes de calcul validés par le maître d’œuvre.</w:t>
            </w:r>
          </w:p>
          <w:p>
            <w:pPr>
              <w:pStyle w:val="Normal"/>
              <w:widowControl w:val="false"/>
              <w:rPr/>
            </w:pPr>
            <w:r>
              <w:rPr/>
              <w:t>Ce prix comprend également, pour ladite ossature métallique, l’application de la protection anti-corrosion conformément aux prescriptions du CCTP.</w:t>
            </w:r>
          </w:p>
          <w:p>
            <w:pPr>
              <w:pStyle w:val="Normal"/>
              <w:widowControl w:val="false"/>
              <w:rPr/>
            </w:pPr>
            <w:r>
              <w:rPr/>
              <w:t>Il comprend notamment :</w:t>
            </w:r>
          </w:p>
          <w:p>
            <w:pPr>
              <w:pStyle w:val="ListParagraph"/>
              <w:widowControl w:val="false"/>
              <w:numPr>
                <w:ilvl w:val="0"/>
                <w:numId w:val="17"/>
              </w:numPr>
              <w:rPr/>
            </w:pPr>
            <w:r>
              <w:rPr/>
              <w:t xml:space="preserve">Fourniture de tous les éléments métalliques nécessaires à l’ossature (profilés, platines, équerres, visserie, etc.) </w:t>
            </w:r>
          </w:p>
          <w:p>
            <w:pPr>
              <w:pStyle w:val="ListParagraph"/>
              <w:widowControl w:val="false"/>
              <w:numPr>
                <w:ilvl w:val="0"/>
                <w:numId w:val="17"/>
              </w:numPr>
              <w:rPr>
                <w:rFonts w:eastAsia="Times New Roman"/>
                <w:bCs w:val="false"/>
                <w:szCs w:val="20"/>
                <w:lang w:eastAsia="fr-FR"/>
              </w:rPr>
            </w:pPr>
            <w:r>
              <w:rPr>
                <w:rFonts w:eastAsia="Times New Roman"/>
                <w:bCs w:val="false"/>
                <w:szCs w:val="20"/>
                <w:lang w:eastAsia="fr-FR"/>
              </w:rPr>
              <w:t>L’application d’un système de protection anti-corrosion avant montage conforme au CCTP (primaire, intermédiaire ou finition, selon prescriptions), y compris respect des épaisseurs, temps de séchage, conditions hygrométriques et températures requises</w:t>
            </w:r>
          </w:p>
          <w:p>
            <w:pPr>
              <w:pStyle w:val="ListParagraph"/>
              <w:widowControl w:val="false"/>
              <w:numPr>
                <w:ilvl w:val="0"/>
                <w:numId w:val="17"/>
              </w:numPr>
              <w:rPr/>
            </w:pPr>
            <w:r>
              <w:rPr/>
              <w:t>Contrôle de conformité avec les plans et notes de calcul validés</w:t>
            </w:r>
          </w:p>
          <w:p>
            <w:pPr>
              <w:pStyle w:val="ListParagraph"/>
              <w:widowControl w:val="false"/>
              <w:numPr>
                <w:ilvl w:val="0"/>
                <w:numId w:val="17"/>
              </w:numPr>
              <w:rPr/>
            </w:pPr>
            <w:r>
              <w:rPr/>
              <w:t>Transport et manutention sur site ;</w:t>
            </w:r>
          </w:p>
          <w:p>
            <w:pPr>
              <w:pStyle w:val="Normal"/>
              <w:widowControl w:val="false"/>
              <w:rPr/>
            </w:pPr>
            <w:r>
              <w:rPr/>
            </w:r>
          </w:p>
          <w:p>
            <w:pPr>
              <w:pStyle w:val="Normal"/>
              <w:widowControl w:val="false"/>
              <w:rPr/>
            </w:pPr>
            <w:r>
              <w:rPr/>
              <w:t>Ce prix est réglé mensuellement sur décompte des quantités fournies conformes aux plans d’exécution.</w:t>
            </w:r>
          </w:p>
          <w:p>
            <w:pPr>
              <w:pStyle w:val="Normal"/>
              <w:widowControl w:val="false"/>
              <w:spacing w:before="0" w:after="120"/>
              <w:rPr/>
            </w:pPr>
            <w:r>
              <w:rPr/>
            </w:r>
          </w:p>
        </w:tc>
      </w:tr>
      <w:tr>
        <w:trPr>
          <w:trHeight w:val="1304" w:hRule="atLeast"/>
        </w:trPr>
        <w:tc>
          <w:tcPr>
            <w:tcW w:w="1259" w:type="dxa"/>
            <w:vMerge w:val="continue"/>
            <w:tcBorders>
              <w:top w:val="single" w:sz="8" w:space="0" w:color="000000"/>
              <w:left w:val="single" w:sz="8" w:space="0" w:color="000000"/>
              <w:bottom w:val="single" w:sz="8" w:space="0" w:color="000000"/>
              <w:right w:val="single" w:sz="8" w:space="0" w:color="000000"/>
            </w:tcBorders>
            <w:vAlign w:val="center"/>
          </w:tcPr>
          <w:p>
            <w:pPr>
              <w:pStyle w:val="Normal"/>
              <w:widowControl/>
              <w:suppressAutoHyphens w:val="true"/>
              <w:bidi w:val="0"/>
              <w:spacing w:before="0" w:after="120"/>
              <w:jc w:val="both"/>
              <w:rPr/>
            </w:pPr>
            <w:r>
              <w:rPr/>
            </w:r>
          </w:p>
        </w:tc>
        <w:tc>
          <w:tcPr>
            <w:tcW w:w="5221" w:type="dxa"/>
            <w:tcBorders>
              <w:top w:val="single" w:sz="8" w:space="0" w:color="000000"/>
              <w:left w:val="single" w:sz="8" w:space="0" w:color="000000"/>
              <w:bottom w:val="single" w:sz="8" w:space="0" w:color="000000"/>
              <w:right w:val="single" w:sz="8" w:space="0" w:color="000000"/>
            </w:tcBorders>
          </w:tcPr>
          <w:p>
            <w:pPr>
              <w:pStyle w:val="Normal"/>
              <w:widowControl w:val="false"/>
              <w:tabs>
                <w:tab w:val="clear" w:pos="708"/>
                <w:tab w:val="center" w:pos="4536" w:leader="none"/>
                <w:tab w:val="right" w:pos="9072" w:leader="none"/>
              </w:tabs>
              <w:rPr>
                <w:b/>
                <w:bCs/>
              </w:rPr>
            </w:pPr>
            <w:r>
              <w:rPr>
                <w:b/>
                <w:bCs/>
              </w:rPr>
              <w:t>Le kilogramme (en lettres)</w:t>
            </w:r>
          </w:p>
          <w:p>
            <w:pPr>
              <w:pStyle w:val="Normal"/>
              <w:widowControl w:val="false"/>
              <w:tabs>
                <w:tab w:val="clear" w:pos="708"/>
                <w:tab w:val="center" w:pos="4536" w:leader="none"/>
                <w:tab w:val="right" w:pos="9072" w:leader="none"/>
              </w:tabs>
              <w:spacing w:before="0" w:after="120"/>
              <w:jc w:val="left"/>
              <w:rPr/>
            </w:pPr>
            <w:r>
              <w:rPr/>
            </w:r>
          </w:p>
        </w:tc>
        <w:tc>
          <w:tcPr>
            <w:tcW w:w="2591" w:type="dxa"/>
            <w:tcBorders>
              <w:top w:val="single" w:sz="8" w:space="0" w:color="000000"/>
              <w:left w:val="single" w:sz="8" w:space="0" w:color="000000"/>
              <w:bottom w:val="single" w:sz="8" w:space="0" w:color="000000"/>
              <w:right w:val="single" w:sz="8" w:space="0" w:color="000000"/>
            </w:tcBorders>
          </w:tcPr>
          <w:p>
            <w:pPr>
              <w:pStyle w:val="Normal"/>
              <w:widowControl w:val="false"/>
              <w:tabs>
                <w:tab w:val="clear" w:pos="708"/>
                <w:tab w:val="center" w:pos="4536" w:leader="none"/>
                <w:tab w:val="right" w:pos="9072" w:leader="none"/>
              </w:tabs>
              <w:jc w:val="left"/>
              <w:rPr>
                <w:b/>
                <w:bCs/>
              </w:rPr>
            </w:pPr>
            <w:r>
              <w:rPr>
                <w:b/>
                <w:bCs/>
              </w:rPr>
              <w:t>Le kilogramme (en chiffres)</w:t>
            </w:r>
          </w:p>
          <w:p>
            <w:pPr>
              <w:pStyle w:val="Normal"/>
              <w:widowControl w:val="false"/>
              <w:tabs>
                <w:tab w:val="clear" w:pos="708"/>
                <w:tab w:val="center" w:pos="4536" w:leader="none"/>
                <w:tab w:val="right" w:pos="9072" w:leader="none"/>
              </w:tabs>
              <w:spacing w:before="0" w:after="120"/>
              <w:jc w:val="left"/>
              <w:rPr/>
            </w:pPr>
            <w:r>
              <w:rPr/>
            </w:r>
          </w:p>
        </w:tc>
      </w:tr>
    </w:tbl>
    <w:p>
      <w:pPr>
        <w:sectPr>
          <w:headerReference w:type="default" r:id="rId34"/>
          <w:headerReference w:type="first" r:id="rId35"/>
          <w:footerReference w:type="default" r:id="rId36"/>
          <w:footerReference w:type="first" r:id="rId37"/>
          <w:type w:val="nextPage"/>
          <w:pgSz w:w="11906" w:h="16838"/>
          <w:pgMar w:left="1417" w:right="1417" w:gutter="0" w:header="708" w:top="1985" w:footer="292" w:bottom="1560"/>
          <w:pgNumType w:fmt="decimal"/>
          <w:formProt w:val="false"/>
          <w:textDirection w:val="lrTb"/>
          <w:docGrid w:type="default" w:linePitch="360" w:charSpace="16384"/>
        </w:sectPr>
      </w:pPr>
    </w:p>
    <w:p>
      <w:pPr>
        <w:pStyle w:val="Normal"/>
        <w:rPr/>
      </w:pPr>
      <w:r>
        <w:rPr/>
      </w:r>
    </w:p>
    <w:tbl>
      <w:tblPr>
        <w:tblW w:w="9071" w:type="dxa"/>
        <w:jc w:val="left"/>
        <w:tblInd w:w="108" w:type="dxa"/>
        <w:tblLayout w:type="fixed"/>
        <w:tblCellMar>
          <w:top w:w="0" w:type="dxa"/>
          <w:left w:w="108" w:type="dxa"/>
          <w:bottom w:w="0" w:type="dxa"/>
          <w:right w:w="108" w:type="dxa"/>
        </w:tblCellMar>
      </w:tblPr>
      <w:tblGrid>
        <w:gridCol w:w="1259"/>
        <w:gridCol w:w="5221"/>
        <w:gridCol w:w="2591"/>
      </w:tblGrid>
      <w:tr>
        <w:trPr/>
        <w:tc>
          <w:tcPr>
            <w:tcW w:w="1259" w:type="dxa"/>
            <w:tcBorders>
              <w:top w:val="single" w:sz="8" w:space="0" w:color="000000"/>
              <w:left w:val="single" w:sz="8" w:space="0" w:color="000000"/>
              <w:bottom w:val="single" w:sz="8" w:space="0" w:color="000000"/>
              <w:right w:val="single" w:sz="8" w:space="0" w:color="000000"/>
            </w:tcBorders>
            <w:shd w:fill="009782" w:val="clear"/>
          </w:tcPr>
          <w:p>
            <w:pPr>
              <w:pStyle w:val="Normal"/>
              <w:widowControl w:val="false"/>
              <w:tabs>
                <w:tab w:val="clear" w:pos="708"/>
                <w:tab w:val="center" w:pos="4536" w:leader="none"/>
                <w:tab w:val="right" w:pos="9072" w:leader="none"/>
              </w:tabs>
              <w:spacing w:before="120" w:after="120"/>
              <w:jc w:val="center"/>
              <w:rPr>
                <w:b/>
                <w:bCs/>
                <w:i/>
                <w:color w:val="FFFFFF"/>
              </w:rPr>
            </w:pPr>
            <w:r>
              <w:rPr>
                <w:b/>
                <w:bCs/>
                <w:i/>
                <w:color w:val="FFFFFF"/>
              </w:rPr>
              <w:t>N° PRIX</w:t>
            </w:r>
          </w:p>
        </w:tc>
        <w:tc>
          <w:tcPr>
            <w:tcW w:w="7812" w:type="dxa"/>
            <w:gridSpan w:val="2"/>
            <w:tcBorders>
              <w:top w:val="single" w:sz="8" w:space="0" w:color="000000"/>
              <w:left w:val="single" w:sz="8" w:space="0" w:color="000000"/>
              <w:bottom w:val="single" w:sz="8" w:space="0" w:color="000000"/>
              <w:right w:val="single" w:sz="8" w:space="0" w:color="000000"/>
            </w:tcBorders>
            <w:shd w:fill="009782" w:val="clear"/>
            <w:vAlign w:val="center"/>
          </w:tcPr>
          <w:p>
            <w:pPr>
              <w:pStyle w:val="Normal"/>
              <w:widowControl w:val="false"/>
              <w:tabs>
                <w:tab w:val="clear" w:pos="708"/>
                <w:tab w:val="center" w:pos="4536" w:leader="none"/>
                <w:tab w:val="right" w:pos="9072" w:leader="none"/>
              </w:tabs>
              <w:spacing w:before="120" w:after="120"/>
              <w:jc w:val="center"/>
              <w:rPr>
                <w:b/>
                <w:bCs/>
                <w:i/>
                <w:color w:val="FFFFFF"/>
              </w:rPr>
            </w:pPr>
            <w:r>
              <w:rPr>
                <w:b/>
                <w:bCs/>
                <w:i/>
                <w:color w:val="FFFFFF"/>
              </w:rPr>
              <w:t>DESIGNATION DES OUVRAGES ET PRIX HORS TAXE</w:t>
            </w:r>
          </w:p>
        </w:tc>
      </w:tr>
      <w:tr>
        <w:trPr/>
        <w:tc>
          <w:tcPr>
            <w:tcW w:w="1259" w:type="dxa"/>
            <w:vMerge w:val="restart"/>
            <w:tcBorders>
              <w:top w:val="single" w:sz="8" w:space="0" w:color="000000"/>
              <w:left w:val="single" w:sz="8" w:space="0" w:color="000000"/>
              <w:bottom w:val="single" w:sz="8" w:space="0" w:color="000000"/>
              <w:right w:val="single" w:sz="8" w:space="0" w:color="000000"/>
            </w:tcBorders>
          </w:tcPr>
          <w:p>
            <w:pPr>
              <w:pStyle w:val="Normal"/>
              <w:widowControl w:val="false"/>
              <w:spacing w:before="0" w:after="120"/>
              <w:jc w:val="center"/>
              <w:rPr>
                <w:b/>
                <w:bCs/>
              </w:rPr>
            </w:pPr>
            <w:r>
              <w:rPr>
                <w:b/>
                <w:bCs/>
              </w:rPr>
              <w:t>602</w:t>
            </w:r>
          </w:p>
        </w:tc>
        <w:tc>
          <w:tcPr>
            <w:tcW w:w="7812" w:type="dxa"/>
            <w:gridSpan w:val="2"/>
            <w:tcBorders>
              <w:top w:val="single" w:sz="8" w:space="0" w:color="000000"/>
              <w:left w:val="single" w:sz="8" w:space="0" w:color="000000"/>
              <w:bottom w:val="single" w:sz="8" w:space="0" w:color="000000"/>
              <w:right w:val="single" w:sz="8" w:space="0" w:color="000000"/>
            </w:tcBorders>
            <w:vAlign w:val="center"/>
          </w:tcPr>
          <w:p>
            <w:pPr>
              <w:pStyle w:val="Normal"/>
              <w:widowControl w:val="false"/>
              <w:spacing w:before="0" w:after="0"/>
              <w:rPr>
                <w:b/>
                <w:bCs/>
                <w:smallCaps/>
                <w:color w:val="339966"/>
                <w:spacing w:val="-6"/>
                <w:sz w:val="24"/>
                <w:szCs w:val="24"/>
              </w:rPr>
            </w:pPr>
            <w:r>
              <w:rPr>
                <w:b/>
                <w:bCs/>
                <w:smallCaps/>
                <w:color w:val="339966"/>
                <w:spacing w:val="-6"/>
                <w:sz w:val="24"/>
                <w:szCs w:val="24"/>
              </w:rPr>
              <w:t>Mise en œuvre du support du nouveau système anti-bruit</w:t>
            </w:r>
          </w:p>
          <w:p>
            <w:pPr>
              <w:pStyle w:val="Normal"/>
              <w:widowControl w:val="false"/>
              <w:rPr/>
            </w:pPr>
            <w:r>
              <w:rPr/>
            </w:r>
          </w:p>
          <w:p>
            <w:pPr>
              <w:pStyle w:val="Normal"/>
              <w:widowControl w:val="false"/>
              <w:rPr/>
            </w:pPr>
            <w:r>
              <w:rPr/>
              <w:t xml:space="preserve">Ce prix rémunère, </w:t>
            </w:r>
            <w:r>
              <w:rPr>
                <w:b/>
                <w:bCs/>
              </w:rPr>
              <w:t>au mètre carré de panneau de double vitrage</w:t>
            </w:r>
            <w:r>
              <w:rPr/>
              <w:t>, la mise en œuvre de l’ossature métallique support des panneaux de double vitrage du nouveau système de protection antibruit conformément aux plans d’exécution visés « </w:t>
            </w:r>
            <w:r>
              <w:rPr>
                <w:b/>
                <w:bCs/>
              </w:rPr>
              <w:t>Bon Pour Exécution</w:t>
            </w:r>
            <w:r>
              <w:rPr/>
              <w:t> » par le maitre d’œuvre.</w:t>
            </w:r>
          </w:p>
          <w:p>
            <w:pPr>
              <w:pStyle w:val="Normal"/>
              <w:widowControl w:val="false"/>
              <w:rPr/>
            </w:pPr>
            <w:r>
              <w:rPr/>
              <w:t>Il comprend notamment :</w:t>
            </w:r>
          </w:p>
          <w:p>
            <w:pPr>
              <w:pStyle w:val="ListParagraph"/>
              <w:widowControl w:val="false"/>
              <w:numPr>
                <w:ilvl w:val="0"/>
                <w:numId w:val="17"/>
              </w:numPr>
              <w:rPr/>
            </w:pPr>
            <w:r>
              <w:rPr/>
              <w:t>La manutention, le levage et l’implantation des éléments d’ossature ;</w:t>
            </w:r>
          </w:p>
          <w:p>
            <w:pPr>
              <w:pStyle w:val="ListParagraph"/>
              <w:widowControl w:val="false"/>
              <w:numPr>
                <w:ilvl w:val="0"/>
                <w:numId w:val="17"/>
              </w:numPr>
              <w:rPr/>
            </w:pPr>
            <w:r>
              <w:rPr/>
              <w:t>L’ensemble des moyens d’accès pour permettre l’intervention à pied d’œuvre du personnel en charge de la mise en œuvre ;</w:t>
            </w:r>
          </w:p>
          <w:p>
            <w:pPr>
              <w:pStyle w:val="ListParagraph"/>
              <w:widowControl w:val="false"/>
              <w:numPr>
                <w:ilvl w:val="0"/>
                <w:numId w:val="17"/>
              </w:numPr>
              <w:rPr/>
            </w:pPr>
            <w:r>
              <w:rPr/>
              <w:t>L’assemblage et le boulonnage/soudage des éléments constitutifs ;</w:t>
            </w:r>
          </w:p>
          <w:p>
            <w:pPr>
              <w:pStyle w:val="ListParagraph"/>
              <w:widowControl w:val="false"/>
              <w:numPr>
                <w:ilvl w:val="0"/>
                <w:numId w:val="17"/>
              </w:numPr>
              <w:rPr/>
            </w:pPr>
            <w:r>
              <w:rPr/>
              <w:t>La mise en place et le réglage des ancrages et dispositifs de fixation ;</w:t>
            </w:r>
          </w:p>
          <w:p>
            <w:pPr>
              <w:pStyle w:val="ListParagraph"/>
              <w:widowControl w:val="false"/>
              <w:numPr>
                <w:ilvl w:val="0"/>
                <w:numId w:val="17"/>
              </w:numPr>
              <w:rPr/>
            </w:pPr>
            <w:r>
              <w:rPr/>
              <w:t>Les opérations de calage, d’alignement et de mise à niveau ;</w:t>
            </w:r>
          </w:p>
          <w:p>
            <w:pPr>
              <w:pStyle w:val="ListParagraph"/>
              <w:widowControl w:val="false"/>
              <w:numPr>
                <w:ilvl w:val="0"/>
                <w:numId w:val="17"/>
              </w:numPr>
              <w:rPr/>
            </w:pPr>
            <w:r>
              <w:rPr/>
              <w:t>Le nettoyage après travaux ;</w:t>
            </w:r>
          </w:p>
          <w:p>
            <w:pPr>
              <w:pStyle w:val="Normal"/>
              <w:widowControl w:val="false"/>
              <w:rPr/>
            </w:pPr>
            <w:r>
              <w:rPr/>
            </w:r>
          </w:p>
          <w:p>
            <w:pPr>
              <w:pStyle w:val="Normal"/>
              <w:widowControl w:val="false"/>
              <w:rPr/>
            </w:pPr>
            <w:r>
              <w:rPr/>
              <w:t>Ce prix est réglé mensuellement sur décompte des quantités fournies conformes aux plans d’exécution.</w:t>
            </w:r>
          </w:p>
          <w:p>
            <w:pPr>
              <w:pStyle w:val="Normal"/>
              <w:widowControl w:val="false"/>
              <w:spacing w:before="0" w:after="120"/>
              <w:rPr/>
            </w:pPr>
            <w:r>
              <w:rPr/>
            </w:r>
          </w:p>
        </w:tc>
      </w:tr>
      <w:tr>
        <w:trPr>
          <w:trHeight w:val="1304" w:hRule="atLeast"/>
        </w:trPr>
        <w:tc>
          <w:tcPr>
            <w:tcW w:w="1259" w:type="dxa"/>
            <w:vMerge w:val="continue"/>
            <w:tcBorders>
              <w:top w:val="single" w:sz="8" w:space="0" w:color="000000"/>
              <w:left w:val="single" w:sz="8" w:space="0" w:color="000000"/>
              <w:bottom w:val="single" w:sz="8" w:space="0" w:color="000000"/>
              <w:right w:val="single" w:sz="8" w:space="0" w:color="000000"/>
            </w:tcBorders>
            <w:vAlign w:val="center"/>
          </w:tcPr>
          <w:p>
            <w:pPr>
              <w:pStyle w:val="Normal"/>
              <w:widowControl/>
              <w:suppressAutoHyphens w:val="true"/>
              <w:bidi w:val="0"/>
              <w:spacing w:before="0" w:after="120"/>
              <w:jc w:val="both"/>
              <w:rPr/>
            </w:pPr>
            <w:r>
              <w:rPr/>
            </w:r>
          </w:p>
        </w:tc>
        <w:tc>
          <w:tcPr>
            <w:tcW w:w="5221" w:type="dxa"/>
            <w:tcBorders>
              <w:top w:val="single" w:sz="8" w:space="0" w:color="000000"/>
              <w:left w:val="single" w:sz="8" w:space="0" w:color="000000"/>
              <w:bottom w:val="single" w:sz="8" w:space="0" w:color="000000"/>
              <w:right w:val="single" w:sz="8" w:space="0" w:color="000000"/>
            </w:tcBorders>
          </w:tcPr>
          <w:p>
            <w:pPr>
              <w:pStyle w:val="Normal"/>
              <w:widowControl w:val="false"/>
              <w:tabs>
                <w:tab w:val="clear" w:pos="708"/>
                <w:tab w:val="center" w:pos="4536" w:leader="none"/>
                <w:tab w:val="right" w:pos="9072" w:leader="none"/>
              </w:tabs>
              <w:rPr>
                <w:b/>
                <w:bCs/>
              </w:rPr>
            </w:pPr>
            <w:r>
              <w:rPr>
                <w:b/>
                <w:bCs/>
              </w:rPr>
              <w:t>Le mètre carré (en lettres)</w:t>
            </w:r>
          </w:p>
          <w:p>
            <w:pPr>
              <w:pStyle w:val="Normal"/>
              <w:widowControl w:val="false"/>
              <w:tabs>
                <w:tab w:val="clear" w:pos="708"/>
                <w:tab w:val="center" w:pos="4536" w:leader="none"/>
                <w:tab w:val="right" w:pos="9072" w:leader="none"/>
              </w:tabs>
              <w:spacing w:before="0" w:after="120"/>
              <w:jc w:val="left"/>
              <w:rPr/>
            </w:pPr>
            <w:r>
              <w:rPr/>
            </w:r>
          </w:p>
        </w:tc>
        <w:tc>
          <w:tcPr>
            <w:tcW w:w="2591" w:type="dxa"/>
            <w:tcBorders>
              <w:top w:val="single" w:sz="8" w:space="0" w:color="000000"/>
              <w:left w:val="single" w:sz="8" w:space="0" w:color="000000"/>
              <w:bottom w:val="single" w:sz="8" w:space="0" w:color="000000"/>
              <w:right w:val="single" w:sz="8" w:space="0" w:color="000000"/>
            </w:tcBorders>
          </w:tcPr>
          <w:p>
            <w:pPr>
              <w:pStyle w:val="Normal"/>
              <w:widowControl w:val="false"/>
              <w:tabs>
                <w:tab w:val="clear" w:pos="708"/>
                <w:tab w:val="center" w:pos="4536" w:leader="none"/>
                <w:tab w:val="right" w:pos="9072" w:leader="none"/>
              </w:tabs>
              <w:jc w:val="left"/>
              <w:rPr>
                <w:b/>
                <w:bCs/>
              </w:rPr>
            </w:pPr>
            <w:r>
              <w:rPr>
                <w:b/>
                <w:bCs/>
              </w:rPr>
              <w:t>Le mètre carré (en chiffres)</w:t>
            </w:r>
          </w:p>
          <w:p>
            <w:pPr>
              <w:pStyle w:val="Normal"/>
              <w:widowControl w:val="false"/>
              <w:tabs>
                <w:tab w:val="clear" w:pos="708"/>
                <w:tab w:val="center" w:pos="4536" w:leader="none"/>
                <w:tab w:val="right" w:pos="9072" w:leader="none"/>
              </w:tabs>
              <w:spacing w:before="0" w:after="120"/>
              <w:jc w:val="left"/>
              <w:rPr/>
            </w:pPr>
            <w:r>
              <w:rPr/>
            </w:r>
          </w:p>
        </w:tc>
      </w:tr>
    </w:tbl>
    <w:p>
      <w:pPr>
        <w:sectPr>
          <w:headerReference w:type="default" r:id="rId38"/>
          <w:headerReference w:type="first" r:id="rId39"/>
          <w:footerReference w:type="default" r:id="rId40"/>
          <w:footerReference w:type="first" r:id="rId41"/>
          <w:type w:val="nextPage"/>
          <w:pgSz w:w="11906" w:h="16838"/>
          <w:pgMar w:left="1417" w:right="1417" w:gutter="0" w:header="708" w:top="1985" w:footer="292" w:bottom="1560"/>
          <w:pgNumType w:fmt="decimal"/>
          <w:formProt w:val="false"/>
          <w:textDirection w:val="lrTb"/>
          <w:docGrid w:type="default" w:linePitch="360" w:charSpace="16384"/>
        </w:sectPr>
      </w:pPr>
    </w:p>
    <w:p>
      <w:pPr>
        <w:pStyle w:val="Normal"/>
        <w:rPr/>
      </w:pPr>
      <w:r>
        <w:rPr/>
      </w:r>
    </w:p>
    <w:tbl>
      <w:tblPr>
        <w:tblW w:w="9071" w:type="dxa"/>
        <w:jc w:val="left"/>
        <w:tblInd w:w="108" w:type="dxa"/>
        <w:tblLayout w:type="fixed"/>
        <w:tblCellMar>
          <w:top w:w="0" w:type="dxa"/>
          <w:left w:w="108" w:type="dxa"/>
          <w:bottom w:w="0" w:type="dxa"/>
          <w:right w:w="108" w:type="dxa"/>
        </w:tblCellMar>
      </w:tblPr>
      <w:tblGrid>
        <w:gridCol w:w="1259"/>
        <w:gridCol w:w="5221"/>
        <w:gridCol w:w="2591"/>
      </w:tblGrid>
      <w:tr>
        <w:trPr/>
        <w:tc>
          <w:tcPr>
            <w:tcW w:w="1259" w:type="dxa"/>
            <w:tcBorders>
              <w:top w:val="single" w:sz="8" w:space="0" w:color="000000"/>
              <w:left w:val="single" w:sz="8" w:space="0" w:color="000000"/>
              <w:bottom w:val="single" w:sz="8" w:space="0" w:color="000000"/>
              <w:right w:val="single" w:sz="8" w:space="0" w:color="000000"/>
            </w:tcBorders>
            <w:shd w:fill="009782" w:val="clear"/>
          </w:tcPr>
          <w:p>
            <w:pPr>
              <w:pStyle w:val="Normal"/>
              <w:widowControl w:val="false"/>
              <w:tabs>
                <w:tab w:val="clear" w:pos="708"/>
                <w:tab w:val="center" w:pos="4536" w:leader="none"/>
                <w:tab w:val="right" w:pos="9072" w:leader="none"/>
              </w:tabs>
              <w:spacing w:before="120" w:after="120"/>
              <w:jc w:val="center"/>
              <w:rPr>
                <w:b/>
                <w:bCs/>
                <w:i/>
                <w:color w:val="FFFFFF"/>
              </w:rPr>
            </w:pPr>
            <w:r>
              <w:rPr>
                <w:b/>
                <w:bCs/>
                <w:i/>
                <w:color w:val="FFFFFF"/>
              </w:rPr>
              <w:t>N° PRIX</w:t>
            </w:r>
          </w:p>
        </w:tc>
        <w:tc>
          <w:tcPr>
            <w:tcW w:w="7812" w:type="dxa"/>
            <w:gridSpan w:val="2"/>
            <w:tcBorders>
              <w:top w:val="single" w:sz="8" w:space="0" w:color="000000"/>
              <w:left w:val="single" w:sz="8" w:space="0" w:color="000000"/>
              <w:bottom w:val="single" w:sz="8" w:space="0" w:color="000000"/>
              <w:right w:val="single" w:sz="8" w:space="0" w:color="000000"/>
            </w:tcBorders>
            <w:shd w:fill="009782" w:val="clear"/>
            <w:vAlign w:val="center"/>
          </w:tcPr>
          <w:p>
            <w:pPr>
              <w:pStyle w:val="Normal"/>
              <w:widowControl w:val="false"/>
              <w:tabs>
                <w:tab w:val="clear" w:pos="708"/>
                <w:tab w:val="center" w:pos="4536" w:leader="none"/>
                <w:tab w:val="right" w:pos="9072" w:leader="none"/>
              </w:tabs>
              <w:spacing w:before="120" w:after="120"/>
              <w:jc w:val="center"/>
              <w:rPr>
                <w:b/>
                <w:bCs/>
                <w:i/>
                <w:color w:val="FFFFFF"/>
              </w:rPr>
            </w:pPr>
            <w:r>
              <w:rPr>
                <w:b/>
                <w:bCs/>
                <w:i/>
                <w:color w:val="FFFFFF"/>
              </w:rPr>
              <w:t>DESIGNATION DES OUVRAGES ET PRIX HORS TAXE</w:t>
            </w:r>
          </w:p>
        </w:tc>
      </w:tr>
      <w:tr>
        <w:trPr/>
        <w:tc>
          <w:tcPr>
            <w:tcW w:w="1259" w:type="dxa"/>
            <w:vMerge w:val="restart"/>
            <w:tcBorders>
              <w:top w:val="single" w:sz="8" w:space="0" w:color="000000"/>
              <w:left w:val="single" w:sz="8" w:space="0" w:color="000000"/>
              <w:bottom w:val="single" w:sz="8" w:space="0" w:color="000000"/>
              <w:right w:val="single" w:sz="8" w:space="0" w:color="000000"/>
            </w:tcBorders>
          </w:tcPr>
          <w:p>
            <w:pPr>
              <w:pStyle w:val="Normal"/>
              <w:widowControl w:val="false"/>
              <w:spacing w:before="0" w:after="120"/>
              <w:jc w:val="center"/>
              <w:rPr>
                <w:b/>
                <w:bCs/>
              </w:rPr>
            </w:pPr>
            <w:r>
              <w:rPr>
                <w:b/>
                <w:bCs/>
              </w:rPr>
              <w:t>603</w:t>
            </w:r>
          </w:p>
        </w:tc>
        <w:tc>
          <w:tcPr>
            <w:tcW w:w="7812" w:type="dxa"/>
            <w:gridSpan w:val="2"/>
            <w:tcBorders>
              <w:top w:val="single" w:sz="8" w:space="0" w:color="000000"/>
              <w:left w:val="single" w:sz="8" w:space="0" w:color="000000"/>
              <w:bottom w:val="single" w:sz="8" w:space="0" w:color="000000"/>
              <w:right w:val="single" w:sz="8" w:space="0" w:color="000000"/>
            </w:tcBorders>
            <w:vAlign w:val="center"/>
          </w:tcPr>
          <w:p>
            <w:pPr>
              <w:pStyle w:val="Normal"/>
              <w:widowControl w:val="false"/>
              <w:rPr>
                <w:b/>
                <w:bCs/>
                <w:smallCaps/>
                <w:color w:val="339966"/>
                <w:spacing w:val="-6"/>
                <w:sz w:val="24"/>
                <w:szCs w:val="24"/>
              </w:rPr>
            </w:pPr>
            <w:r>
              <w:rPr>
                <w:b/>
                <w:bCs/>
                <w:smallCaps/>
                <w:color w:val="339966"/>
                <w:spacing w:val="-6"/>
                <w:sz w:val="24"/>
                <w:szCs w:val="24"/>
              </w:rPr>
              <w:t>Fourniture et pose des panneaux en double vitrage y compris éléments et cadres secondaires</w:t>
            </w:r>
          </w:p>
          <w:p>
            <w:pPr>
              <w:pStyle w:val="Normal"/>
              <w:widowControl w:val="false"/>
              <w:rPr/>
            </w:pPr>
            <w:r>
              <w:rPr/>
              <w:t>Ce prix rémunère, au mètre carré, la fourniture et la pose des panneaux en double vitrage constituant le système de protection antibruit, y compris les cadres secondaires, accessoires de fixation et l’ensemble des dispositifs d’étanchéité nécessaires à la parfaite réalisation de l’ouvrage conformément aux plans d’exécution validés par le maitre d’œuvre.</w:t>
            </w:r>
          </w:p>
          <w:p>
            <w:pPr>
              <w:pStyle w:val="Normal"/>
              <w:widowControl w:val="false"/>
              <w:rPr/>
            </w:pPr>
            <w:r>
              <w:rPr/>
            </w:r>
          </w:p>
          <w:p>
            <w:pPr>
              <w:pStyle w:val="Normal"/>
              <w:widowControl w:val="false"/>
              <w:rPr/>
            </w:pPr>
            <w:r>
              <w:rPr/>
              <w:t>Il comprend notamment :</w:t>
            </w:r>
          </w:p>
          <w:p>
            <w:pPr>
              <w:pStyle w:val="ListParagraph"/>
              <w:widowControl w:val="false"/>
              <w:numPr>
                <w:ilvl w:val="0"/>
                <w:numId w:val="17"/>
              </w:numPr>
              <w:rPr>
                <w:b/>
                <w:bCs w:val="false"/>
              </w:rPr>
            </w:pPr>
            <w:r>
              <w:rPr>
                <w:b/>
                <w:bCs w:val="false"/>
              </w:rPr>
              <w:t>Tous les moyens de levage, quels qu’ils soient, nécessaires à l’exécution de la méthode et du phasage de pose proposée par l’entrepreneur et validé par le maitre d’œuvre ;</w:t>
            </w:r>
          </w:p>
          <w:p>
            <w:pPr>
              <w:pStyle w:val="ListParagraph"/>
              <w:widowControl w:val="false"/>
              <w:numPr>
                <w:ilvl w:val="0"/>
                <w:numId w:val="17"/>
              </w:numPr>
              <w:rPr/>
            </w:pPr>
            <w:r>
              <w:rPr/>
              <w:t>L’ensemble des moyens d’accès pour permettre l’intervention à pied d’œuvre du personnel en charge de la mise en œuvre ;</w:t>
            </w:r>
          </w:p>
          <w:p>
            <w:pPr>
              <w:pStyle w:val="ListParagraph"/>
              <w:widowControl w:val="false"/>
              <w:numPr>
                <w:ilvl w:val="0"/>
                <w:numId w:val="17"/>
              </w:numPr>
              <w:rPr/>
            </w:pPr>
            <w:r>
              <w:rPr/>
              <w:t>La fourniture et pose des panneaux en double vitrage conformes aux performances acoustiques et techniques définies au CCTP ;</w:t>
            </w:r>
          </w:p>
          <w:p>
            <w:pPr>
              <w:pStyle w:val="ListParagraph"/>
              <w:widowControl w:val="false"/>
              <w:numPr>
                <w:ilvl w:val="0"/>
                <w:numId w:val="17"/>
              </w:numPr>
              <w:rPr/>
            </w:pPr>
            <w:r>
              <w:rPr/>
              <w:t>La fourniture et la mise en œuvre des cadres secondaires, profils de maintien, parcloses, pièces d’adaptation et accessoires ;</w:t>
            </w:r>
          </w:p>
          <w:p>
            <w:pPr>
              <w:pStyle w:val="ListParagraph"/>
              <w:widowControl w:val="false"/>
              <w:numPr>
                <w:ilvl w:val="0"/>
                <w:numId w:val="17"/>
              </w:numPr>
              <w:rPr/>
            </w:pPr>
            <w:r>
              <w:rPr/>
              <w:t>La fourniture et la mise en œuvre de tous les éléments d’étanchéité : joints compressibles, joints EPDM, mastics, bandes d’étanchéité, bavettes, couvre-joints et dispositifs assurant l’étanchéité à l’eau, à l’air et aux poussières ;</w:t>
            </w:r>
          </w:p>
          <w:p>
            <w:pPr>
              <w:pStyle w:val="ListParagraph"/>
              <w:widowControl w:val="false"/>
              <w:numPr>
                <w:ilvl w:val="0"/>
                <w:numId w:val="17"/>
              </w:numPr>
              <w:rPr/>
            </w:pPr>
            <w:r>
              <w:rPr/>
              <w:t>Le calage, le réglage et l’alignement des panneaux ;</w:t>
            </w:r>
          </w:p>
          <w:p>
            <w:pPr>
              <w:pStyle w:val="ListParagraph"/>
              <w:widowControl w:val="false"/>
              <w:numPr>
                <w:ilvl w:val="0"/>
                <w:numId w:val="17"/>
              </w:numPr>
              <w:rPr/>
            </w:pPr>
            <w:r>
              <w:rPr/>
              <w:t>La fixation des panneaux sur l’ossature métallique support ;</w:t>
            </w:r>
          </w:p>
          <w:p>
            <w:pPr>
              <w:pStyle w:val="ListParagraph"/>
              <w:widowControl w:val="false"/>
              <w:numPr>
                <w:ilvl w:val="0"/>
                <w:numId w:val="17"/>
              </w:numPr>
              <w:rPr/>
            </w:pPr>
            <w:r>
              <w:rPr/>
              <w:t>Le nettoyage après travaux ;</w:t>
            </w:r>
          </w:p>
          <w:p>
            <w:pPr>
              <w:pStyle w:val="Normal"/>
              <w:widowControl w:val="false"/>
              <w:rPr/>
            </w:pPr>
            <w:r>
              <w:rPr/>
            </w:r>
          </w:p>
          <w:p>
            <w:pPr>
              <w:pStyle w:val="Normal"/>
              <w:widowControl w:val="false"/>
              <w:rPr/>
            </w:pPr>
            <w:r>
              <w:rPr/>
              <w:t>Ce prix est réglé mensuellement sur décompte des quantités réalisées.</w:t>
            </w:r>
          </w:p>
          <w:p>
            <w:pPr>
              <w:pStyle w:val="Normal"/>
              <w:widowControl w:val="false"/>
              <w:spacing w:before="0" w:after="120"/>
              <w:rPr/>
            </w:pPr>
            <w:r>
              <w:rPr/>
            </w:r>
          </w:p>
        </w:tc>
      </w:tr>
      <w:tr>
        <w:trPr>
          <w:trHeight w:val="1304" w:hRule="atLeast"/>
        </w:trPr>
        <w:tc>
          <w:tcPr>
            <w:tcW w:w="1259" w:type="dxa"/>
            <w:vMerge w:val="continue"/>
            <w:tcBorders>
              <w:top w:val="single" w:sz="8" w:space="0" w:color="000000"/>
              <w:left w:val="single" w:sz="8" w:space="0" w:color="000000"/>
              <w:bottom w:val="single" w:sz="8" w:space="0" w:color="000000"/>
              <w:right w:val="single" w:sz="8" w:space="0" w:color="000000"/>
            </w:tcBorders>
            <w:vAlign w:val="center"/>
          </w:tcPr>
          <w:p>
            <w:pPr>
              <w:pStyle w:val="Normal"/>
              <w:widowControl/>
              <w:suppressAutoHyphens w:val="true"/>
              <w:bidi w:val="0"/>
              <w:spacing w:before="0" w:after="120"/>
              <w:jc w:val="both"/>
              <w:rPr/>
            </w:pPr>
            <w:r>
              <w:rPr/>
            </w:r>
          </w:p>
        </w:tc>
        <w:tc>
          <w:tcPr>
            <w:tcW w:w="5221" w:type="dxa"/>
            <w:tcBorders>
              <w:top w:val="single" w:sz="8" w:space="0" w:color="000000"/>
              <w:left w:val="single" w:sz="8" w:space="0" w:color="000000"/>
              <w:bottom w:val="single" w:sz="8" w:space="0" w:color="000000"/>
              <w:right w:val="single" w:sz="8" w:space="0" w:color="000000"/>
            </w:tcBorders>
          </w:tcPr>
          <w:p>
            <w:pPr>
              <w:pStyle w:val="Normal"/>
              <w:widowControl w:val="false"/>
              <w:tabs>
                <w:tab w:val="clear" w:pos="708"/>
                <w:tab w:val="center" w:pos="4536" w:leader="none"/>
                <w:tab w:val="right" w:pos="9072" w:leader="none"/>
              </w:tabs>
              <w:rPr>
                <w:b/>
                <w:bCs/>
              </w:rPr>
            </w:pPr>
            <w:r>
              <w:rPr>
                <w:b/>
                <w:bCs/>
              </w:rPr>
              <w:t>Le mètre carré (en lettres)</w:t>
            </w:r>
          </w:p>
          <w:p>
            <w:pPr>
              <w:pStyle w:val="Normal"/>
              <w:widowControl w:val="false"/>
              <w:tabs>
                <w:tab w:val="clear" w:pos="708"/>
                <w:tab w:val="center" w:pos="4536" w:leader="none"/>
                <w:tab w:val="right" w:pos="9072" w:leader="none"/>
              </w:tabs>
              <w:spacing w:before="0" w:after="120"/>
              <w:jc w:val="left"/>
              <w:rPr/>
            </w:pPr>
            <w:r>
              <w:rPr/>
            </w:r>
          </w:p>
        </w:tc>
        <w:tc>
          <w:tcPr>
            <w:tcW w:w="2591" w:type="dxa"/>
            <w:tcBorders>
              <w:top w:val="single" w:sz="8" w:space="0" w:color="000000"/>
              <w:left w:val="single" w:sz="8" w:space="0" w:color="000000"/>
              <w:bottom w:val="single" w:sz="8" w:space="0" w:color="000000"/>
              <w:right w:val="single" w:sz="8" w:space="0" w:color="000000"/>
            </w:tcBorders>
          </w:tcPr>
          <w:p>
            <w:pPr>
              <w:pStyle w:val="Normal"/>
              <w:widowControl w:val="false"/>
              <w:tabs>
                <w:tab w:val="clear" w:pos="708"/>
                <w:tab w:val="center" w:pos="4536" w:leader="none"/>
                <w:tab w:val="right" w:pos="9072" w:leader="none"/>
              </w:tabs>
              <w:jc w:val="left"/>
              <w:rPr>
                <w:b/>
                <w:bCs/>
              </w:rPr>
            </w:pPr>
            <w:r>
              <w:rPr>
                <w:b/>
                <w:bCs/>
              </w:rPr>
              <w:t>Le mètre carré (en chiffres)</w:t>
            </w:r>
          </w:p>
          <w:p>
            <w:pPr>
              <w:pStyle w:val="Normal"/>
              <w:widowControl w:val="false"/>
              <w:tabs>
                <w:tab w:val="clear" w:pos="708"/>
                <w:tab w:val="center" w:pos="4536" w:leader="none"/>
                <w:tab w:val="right" w:pos="9072" w:leader="none"/>
              </w:tabs>
              <w:spacing w:before="0" w:after="120"/>
              <w:jc w:val="left"/>
              <w:rPr/>
            </w:pPr>
            <w:r>
              <w:rPr/>
            </w:r>
          </w:p>
        </w:tc>
      </w:tr>
      <w:tr>
        <w:trPr>
          <w:trHeight w:val="1304" w:hRule="atLeast"/>
        </w:trPr>
        <w:tc>
          <w:tcPr>
            <w:tcW w:w="1259" w:type="dxa"/>
            <w:vMerge w:val="restart"/>
            <w:tcBorders>
              <w:top w:val="single" w:sz="8" w:space="0" w:color="000000"/>
              <w:left w:val="single" w:sz="8" w:space="0" w:color="000000"/>
              <w:bottom w:val="single" w:sz="8" w:space="0" w:color="000000"/>
              <w:right w:val="single" w:sz="8" w:space="0" w:color="000000"/>
            </w:tcBorders>
          </w:tcPr>
          <w:p>
            <w:pPr>
              <w:pStyle w:val="Normal"/>
              <w:widowControl w:val="false"/>
              <w:tabs>
                <w:tab w:val="clear" w:pos="708"/>
                <w:tab w:val="center" w:pos="4536" w:leader="none"/>
                <w:tab w:val="right" w:pos="9072" w:leader="none"/>
              </w:tabs>
              <w:spacing w:before="0" w:after="120"/>
              <w:jc w:val="center"/>
              <w:rPr>
                <w:b/>
                <w:bCs/>
              </w:rPr>
            </w:pPr>
            <w:r>
              <w:rPr>
                <w:b/>
                <w:bCs/>
              </w:rPr>
              <w:t>604</w:t>
            </w:r>
          </w:p>
        </w:tc>
        <w:tc>
          <w:tcPr>
            <w:tcW w:w="7812" w:type="dxa"/>
            <w:gridSpan w:val="2"/>
            <w:tcBorders>
              <w:top w:val="single" w:sz="8" w:space="0" w:color="000000"/>
              <w:left w:val="single" w:sz="8" w:space="0" w:color="000000"/>
              <w:bottom w:val="single" w:sz="8" w:space="0" w:color="000000"/>
              <w:right w:val="single" w:sz="8" w:space="0" w:color="000000"/>
            </w:tcBorders>
            <w:vAlign w:val="center"/>
          </w:tcPr>
          <w:p>
            <w:pPr>
              <w:pStyle w:val="Normal"/>
              <w:widowControl w:val="false"/>
              <w:rPr>
                <w:b/>
                <w:bCs/>
                <w:smallCaps/>
                <w:color w:val="339966"/>
                <w:spacing w:val="-6"/>
                <w:sz w:val="24"/>
                <w:szCs w:val="24"/>
              </w:rPr>
            </w:pPr>
            <w:r>
              <w:rPr>
                <w:b/>
                <w:bCs/>
                <w:smallCaps/>
                <w:color w:val="339966"/>
                <w:spacing w:val="-6"/>
                <w:sz w:val="24"/>
                <w:szCs w:val="24"/>
              </w:rPr>
              <w:t>Essais de réception du système anti-bruit</w:t>
            </w:r>
          </w:p>
          <w:p>
            <w:pPr>
              <w:pStyle w:val="Normal"/>
              <w:widowControl w:val="false"/>
              <w:rPr/>
            </w:pPr>
            <w:r>
              <w:rPr/>
              <w:t>Ce prix rémunère, au forfait, la réalisation in situ de mesures de réception acoustique de l’ouvrage verrière fini de la performance en isolation au bruit routier selon la norme NF EN 1793-6.</w:t>
            </w:r>
          </w:p>
          <w:p>
            <w:pPr>
              <w:pStyle w:val="Normal"/>
              <w:widowControl w:val="false"/>
              <w:rPr/>
            </w:pPr>
            <w:r>
              <w:rPr/>
            </w:r>
          </w:p>
          <w:p>
            <w:pPr>
              <w:pStyle w:val="Normal"/>
              <w:widowControl w:val="false"/>
              <w:rPr/>
            </w:pPr>
            <w:r>
              <w:rPr/>
              <w:t>Il comprend notamment :</w:t>
            </w:r>
          </w:p>
          <w:p>
            <w:pPr>
              <w:pStyle w:val="ListParagraph"/>
              <w:widowControl w:val="false"/>
              <w:numPr>
                <w:ilvl w:val="0"/>
                <w:numId w:val="17"/>
              </w:numPr>
              <w:rPr>
                <w:b/>
                <w:bCs w:val="false"/>
              </w:rPr>
            </w:pPr>
            <w:r>
              <w:rPr>
                <w:b/>
                <w:bCs w:val="false"/>
              </w:rPr>
              <w:t>Le choix d’un BE acoustique qualifié pour réaliser la réception acoustique de l’ouvrage et sa rémunération ;</w:t>
            </w:r>
          </w:p>
          <w:p>
            <w:pPr>
              <w:pStyle w:val="ListParagraph"/>
              <w:widowControl w:val="false"/>
              <w:numPr>
                <w:ilvl w:val="0"/>
                <w:numId w:val="17"/>
              </w:numPr>
              <w:rPr>
                <w:b/>
                <w:bCs w:val="false"/>
              </w:rPr>
            </w:pPr>
            <w:r>
              <w:rPr>
                <w:b/>
                <w:bCs w:val="false"/>
              </w:rPr>
              <w:t>Tous les moyens de levage, quels qu’ils soient, nécessaires à l’exécution de la méthode de mesure par le BE et validé par le maitre d’œuvre ;</w:t>
            </w:r>
          </w:p>
          <w:p>
            <w:pPr>
              <w:pStyle w:val="ListParagraph"/>
              <w:widowControl w:val="false"/>
              <w:numPr>
                <w:ilvl w:val="0"/>
                <w:numId w:val="17"/>
              </w:numPr>
              <w:rPr/>
            </w:pPr>
            <w:r>
              <w:rPr/>
              <w:t>La réalisation des mesures d’isolement normalisées en 3 points distincts en plein panneaux, sur les jonctions avec l’ossature porteuse.</w:t>
            </w:r>
          </w:p>
          <w:p>
            <w:pPr>
              <w:pStyle w:val="ListParagraph"/>
              <w:widowControl w:val="false"/>
              <w:numPr>
                <w:ilvl w:val="0"/>
                <w:numId w:val="17"/>
              </w:numPr>
              <w:rPr/>
            </w:pPr>
            <w:r>
              <w:rPr/>
              <w:t>Toutes sujétions d’exécution, prenant en compte les contraintes de sécurité pendant les opérations de mesure d’isolement ;</w:t>
            </w:r>
          </w:p>
          <w:p>
            <w:pPr>
              <w:pStyle w:val="ListParagraph"/>
              <w:widowControl w:val="false"/>
              <w:numPr>
                <w:ilvl w:val="0"/>
                <w:numId w:val="17"/>
              </w:numPr>
              <w:rPr/>
            </w:pPr>
            <w:r>
              <w:rPr/>
              <w:t>L’analyse des résultats et la vérification de leurs conformités aux exigences précisées au CCTP art. 3.3.4 ;</w:t>
            </w:r>
          </w:p>
          <w:p>
            <w:pPr>
              <w:pStyle w:val="ListParagraph"/>
              <w:widowControl w:val="false"/>
              <w:numPr>
                <w:ilvl w:val="0"/>
                <w:numId w:val="17"/>
              </w:numPr>
              <w:rPr/>
            </w:pPr>
            <w:r>
              <w:rPr/>
              <w:t>La fourniture d’un rapport de réception acoustique avec les fiches de mesurages ;</w:t>
            </w:r>
          </w:p>
          <w:p>
            <w:pPr>
              <w:pStyle w:val="ListParagraph"/>
              <w:widowControl w:val="false"/>
              <w:numPr>
                <w:ilvl w:val="0"/>
                <w:numId w:val="17"/>
              </w:numPr>
              <w:rPr/>
            </w:pPr>
            <w:r>
              <w:rPr/>
              <w:t>En cas de non-conformité, autant que nécessaire, la réalisation des contre-mesures d’isolement jusqu’à obtention d’un résultat conforme.</w:t>
            </w:r>
          </w:p>
          <w:p>
            <w:pPr>
              <w:pStyle w:val="Normal"/>
              <w:widowControl w:val="false"/>
              <w:spacing w:before="0" w:after="120"/>
              <w:rPr>
                <w:b/>
                <w:bCs/>
              </w:rPr>
            </w:pPr>
            <w:r>
              <w:rPr>
                <w:b/>
                <w:bCs/>
              </w:rPr>
            </w:r>
          </w:p>
        </w:tc>
      </w:tr>
      <w:tr>
        <w:trPr>
          <w:trHeight w:val="1304" w:hRule="atLeast"/>
        </w:trPr>
        <w:tc>
          <w:tcPr>
            <w:tcW w:w="1259" w:type="dxa"/>
            <w:vMerge w:val="continue"/>
            <w:tcBorders>
              <w:top w:val="single" w:sz="8" w:space="0" w:color="000000"/>
              <w:left w:val="single" w:sz="8" w:space="0" w:color="000000"/>
              <w:bottom w:val="single" w:sz="8" w:space="0" w:color="000000"/>
              <w:right w:val="single" w:sz="8" w:space="0" w:color="000000"/>
            </w:tcBorders>
            <w:vAlign w:val="center"/>
          </w:tcPr>
          <w:p>
            <w:pPr>
              <w:pStyle w:val="Normal"/>
              <w:widowControl/>
              <w:suppressAutoHyphens w:val="true"/>
              <w:bidi w:val="0"/>
              <w:spacing w:before="0" w:after="120"/>
              <w:jc w:val="both"/>
              <w:rPr/>
            </w:pPr>
            <w:r>
              <w:rPr/>
            </w:r>
          </w:p>
        </w:tc>
        <w:tc>
          <w:tcPr>
            <w:tcW w:w="5221" w:type="dxa"/>
            <w:tcBorders>
              <w:top w:val="single" w:sz="8" w:space="0" w:color="000000"/>
              <w:left w:val="single" w:sz="8" w:space="0" w:color="000000"/>
              <w:bottom w:val="single" w:sz="8" w:space="0" w:color="000000"/>
              <w:right w:val="single" w:sz="8" w:space="0" w:color="000000"/>
            </w:tcBorders>
          </w:tcPr>
          <w:p>
            <w:pPr>
              <w:pStyle w:val="Normal"/>
              <w:widowControl w:val="false"/>
              <w:tabs>
                <w:tab w:val="clear" w:pos="708"/>
                <w:tab w:val="center" w:pos="4536" w:leader="none"/>
                <w:tab w:val="right" w:pos="9072" w:leader="none"/>
              </w:tabs>
              <w:rPr>
                <w:b/>
                <w:bCs/>
              </w:rPr>
            </w:pPr>
            <w:r>
              <w:rPr>
                <w:b/>
                <w:bCs/>
              </w:rPr>
              <w:t>Le forfait (en lettres)</w:t>
            </w:r>
          </w:p>
          <w:p>
            <w:pPr>
              <w:pStyle w:val="Normal"/>
              <w:widowControl w:val="false"/>
              <w:tabs>
                <w:tab w:val="clear" w:pos="708"/>
                <w:tab w:val="center" w:pos="4536" w:leader="none"/>
                <w:tab w:val="right" w:pos="9072" w:leader="none"/>
              </w:tabs>
              <w:spacing w:before="0" w:after="120"/>
              <w:rPr>
                <w:b/>
                <w:bCs/>
              </w:rPr>
            </w:pPr>
            <w:r>
              <w:rPr>
                <w:b/>
                <w:bCs/>
              </w:rPr>
            </w:r>
          </w:p>
        </w:tc>
        <w:tc>
          <w:tcPr>
            <w:tcW w:w="2591" w:type="dxa"/>
            <w:tcBorders>
              <w:top w:val="single" w:sz="8" w:space="0" w:color="000000"/>
              <w:left w:val="single" w:sz="8" w:space="0" w:color="000000"/>
              <w:bottom w:val="single" w:sz="8" w:space="0" w:color="000000"/>
              <w:right w:val="single" w:sz="8" w:space="0" w:color="000000"/>
            </w:tcBorders>
          </w:tcPr>
          <w:p>
            <w:pPr>
              <w:pStyle w:val="Normal"/>
              <w:widowControl w:val="false"/>
              <w:tabs>
                <w:tab w:val="clear" w:pos="708"/>
                <w:tab w:val="center" w:pos="4536" w:leader="none"/>
                <w:tab w:val="right" w:pos="9072" w:leader="none"/>
              </w:tabs>
              <w:jc w:val="left"/>
              <w:rPr>
                <w:b/>
                <w:bCs/>
              </w:rPr>
            </w:pPr>
            <w:r>
              <w:rPr>
                <w:b/>
                <w:bCs/>
              </w:rPr>
              <w:t>Le forfait (en chiffres)</w:t>
            </w:r>
          </w:p>
          <w:p>
            <w:pPr>
              <w:pStyle w:val="Normal"/>
              <w:widowControl w:val="false"/>
              <w:tabs>
                <w:tab w:val="clear" w:pos="708"/>
                <w:tab w:val="center" w:pos="4536" w:leader="none"/>
                <w:tab w:val="right" w:pos="9072" w:leader="none"/>
              </w:tabs>
              <w:spacing w:before="0" w:after="120"/>
              <w:jc w:val="left"/>
              <w:rPr>
                <w:b/>
                <w:bCs/>
              </w:rPr>
            </w:pPr>
            <w:r>
              <w:rPr>
                <w:b/>
                <w:bCs/>
              </w:rPr>
            </w:r>
          </w:p>
        </w:tc>
      </w:tr>
    </w:tbl>
    <w:p>
      <w:pPr>
        <w:sectPr>
          <w:headerReference w:type="default" r:id="rId42"/>
          <w:headerReference w:type="first" r:id="rId43"/>
          <w:footerReference w:type="default" r:id="rId44"/>
          <w:footerReference w:type="first" r:id="rId45"/>
          <w:type w:val="nextPage"/>
          <w:pgSz w:w="11906" w:h="16838"/>
          <w:pgMar w:left="1417" w:right="1417" w:gutter="0" w:header="708" w:top="1985" w:footer="292" w:bottom="1560"/>
          <w:pgNumType w:fmt="decimal"/>
          <w:formProt w:val="false"/>
          <w:textDirection w:val="lrTb"/>
          <w:docGrid w:type="default" w:linePitch="360" w:charSpace="16384"/>
        </w:sectPr>
      </w:pPr>
    </w:p>
    <w:tbl>
      <w:tblPr>
        <w:tblW w:w="9071" w:type="dxa"/>
        <w:jc w:val="left"/>
        <w:tblInd w:w="108" w:type="dxa"/>
        <w:tblLayout w:type="fixed"/>
        <w:tblCellMar>
          <w:top w:w="0" w:type="dxa"/>
          <w:left w:w="108" w:type="dxa"/>
          <w:bottom w:w="0" w:type="dxa"/>
          <w:right w:w="108" w:type="dxa"/>
        </w:tblCellMar>
      </w:tblPr>
      <w:tblGrid>
        <w:gridCol w:w="1259"/>
        <w:gridCol w:w="5221"/>
        <w:gridCol w:w="2591"/>
      </w:tblGrid>
      <w:tr>
        <w:trPr/>
        <w:tc>
          <w:tcPr>
            <w:tcW w:w="1259" w:type="dxa"/>
            <w:tcBorders>
              <w:top w:val="single" w:sz="8" w:space="0" w:color="000000"/>
              <w:left w:val="single" w:sz="8" w:space="0" w:color="000000"/>
              <w:bottom w:val="single" w:sz="8" w:space="0" w:color="000000"/>
              <w:right w:val="single" w:sz="8" w:space="0" w:color="000000"/>
            </w:tcBorders>
            <w:shd w:fill="009782" w:val="clear"/>
          </w:tcPr>
          <w:p>
            <w:pPr>
              <w:pStyle w:val="Normal"/>
              <w:widowControl w:val="false"/>
              <w:tabs>
                <w:tab w:val="clear" w:pos="708"/>
                <w:tab w:val="center" w:pos="4536" w:leader="none"/>
                <w:tab w:val="right" w:pos="9072" w:leader="none"/>
              </w:tabs>
              <w:spacing w:before="120" w:after="120"/>
              <w:jc w:val="center"/>
              <w:rPr>
                <w:b/>
                <w:bCs/>
                <w:i/>
                <w:color w:val="FFFFFF"/>
              </w:rPr>
            </w:pPr>
            <w:r>
              <w:rPr>
                <w:b/>
                <w:bCs/>
                <w:i/>
                <w:color w:val="FFFFFF"/>
              </w:rPr>
              <w:t>N° PRIX</w:t>
            </w:r>
          </w:p>
        </w:tc>
        <w:tc>
          <w:tcPr>
            <w:tcW w:w="7812" w:type="dxa"/>
            <w:gridSpan w:val="2"/>
            <w:tcBorders>
              <w:top w:val="single" w:sz="8" w:space="0" w:color="000000"/>
              <w:left w:val="single" w:sz="8" w:space="0" w:color="000000"/>
              <w:bottom w:val="single" w:sz="8" w:space="0" w:color="000000"/>
              <w:right w:val="single" w:sz="8" w:space="0" w:color="000000"/>
            </w:tcBorders>
            <w:shd w:fill="009782" w:val="clear"/>
            <w:vAlign w:val="center"/>
          </w:tcPr>
          <w:p>
            <w:pPr>
              <w:pStyle w:val="Normal"/>
              <w:widowControl w:val="false"/>
              <w:tabs>
                <w:tab w:val="clear" w:pos="708"/>
                <w:tab w:val="center" w:pos="4536" w:leader="none"/>
                <w:tab w:val="right" w:pos="9072" w:leader="none"/>
              </w:tabs>
              <w:spacing w:before="120" w:after="120"/>
              <w:jc w:val="center"/>
              <w:rPr>
                <w:b/>
                <w:bCs/>
                <w:i/>
                <w:color w:val="FFFFFF"/>
              </w:rPr>
            </w:pPr>
            <w:r>
              <w:rPr>
                <w:b/>
                <w:bCs/>
                <w:i/>
                <w:color w:val="FFFFFF"/>
              </w:rPr>
              <w:t>DESIGNATION DES OUVRAGES ET PRIX HORS TAXE</w:t>
            </w:r>
          </w:p>
        </w:tc>
      </w:tr>
      <w:tr>
        <w:trPr/>
        <w:tc>
          <w:tcPr>
            <w:tcW w:w="1259" w:type="dxa"/>
            <w:vMerge w:val="restart"/>
            <w:tcBorders>
              <w:top w:val="single" w:sz="8" w:space="0" w:color="000000"/>
              <w:left w:val="single" w:sz="8" w:space="0" w:color="000000"/>
              <w:bottom w:val="single" w:sz="8" w:space="0" w:color="000000"/>
              <w:right w:val="single" w:sz="8" w:space="0" w:color="000000"/>
            </w:tcBorders>
          </w:tcPr>
          <w:p>
            <w:pPr>
              <w:pStyle w:val="Normal"/>
              <w:widowControl w:val="false"/>
              <w:spacing w:before="0" w:after="120"/>
              <w:jc w:val="center"/>
              <w:rPr>
                <w:b/>
                <w:bCs/>
              </w:rPr>
            </w:pPr>
            <w:r>
              <w:rPr>
                <w:b/>
                <w:bCs/>
              </w:rPr>
              <w:t>605</w:t>
            </w:r>
          </w:p>
        </w:tc>
        <w:tc>
          <w:tcPr>
            <w:tcW w:w="7812" w:type="dxa"/>
            <w:gridSpan w:val="2"/>
            <w:tcBorders>
              <w:top w:val="single" w:sz="8" w:space="0" w:color="000000"/>
              <w:left w:val="single" w:sz="8" w:space="0" w:color="000000"/>
              <w:bottom w:val="single" w:sz="8" w:space="0" w:color="000000"/>
              <w:right w:val="single" w:sz="8" w:space="0" w:color="000000"/>
            </w:tcBorders>
            <w:vAlign w:val="center"/>
          </w:tcPr>
          <w:p>
            <w:pPr>
              <w:pStyle w:val="Normal"/>
              <w:widowControl w:val="false"/>
              <w:rPr>
                <w:b/>
                <w:bCs/>
                <w:smallCaps/>
                <w:color w:val="339966"/>
                <w:spacing w:val="-6"/>
                <w:sz w:val="24"/>
                <w:szCs w:val="24"/>
              </w:rPr>
            </w:pPr>
            <w:r>
              <w:rPr>
                <w:b/>
                <w:bCs/>
                <w:smallCaps/>
                <w:color w:val="339966"/>
                <w:spacing w:val="-6"/>
                <w:sz w:val="24"/>
                <w:szCs w:val="24"/>
              </w:rPr>
              <w:t>Application d'une galvanisation à froid sur la grille de protection</w:t>
            </w:r>
          </w:p>
          <w:p>
            <w:pPr>
              <w:pStyle w:val="Normal"/>
              <w:widowControl w:val="false"/>
              <w:rPr/>
            </w:pPr>
            <w:r>
              <w:rPr/>
              <w:t>Ce prix rémunère, au mètre carré, l’application d’un revêtement de galvanisation à froid sur la grille de protection métallique.</w:t>
            </w:r>
          </w:p>
          <w:p>
            <w:pPr>
              <w:pStyle w:val="Normal"/>
              <w:widowControl w:val="false"/>
              <w:rPr/>
            </w:pPr>
            <w:r>
              <w:rPr/>
              <w:t>Le mètre carré correspond à la surface projetée à plat y compris les vides.</w:t>
            </w:r>
          </w:p>
          <w:p>
            <w:pPr>
              <w:pStyle w:val="Normal"/>
              <w:widowControl w:val="false"/>
              <w:rPr/>
            </w:pPr>
            <w:r>
              <w:rPr/>
              <w:t>Les prestations comprennent la préparation des surfaces, la fourniture et l’application d’un revêtement riche en zinc assurant une protection anticorrosion équivalente à une galvanisation, conformément aux prescriptions du CCTP et aux recommandations du fabricant.</w:t>
            </w:r>
          </w:p>
          <w:p>
            <w:pPr>
              <w:pStyle w:val="Normal"/>
              <w:widowControl w:val="false"/>
              <w:rPr/>
            </w:pPr>
            <w:r>
              <w:rPr/>
              <w:t>L’application sera réalisée sur des surfaces propres, dégraissées et débarrassées de toute trace de rouille ou d’oxydation, afin de garantir l’adhérence et la durabilité du traitement.</w:t>
            </w:r>
          </w:p>
          <w:p>
            <w:pPr>
              <w:pStyle w:val="Normal"/>
              <w:widowControl w:val="false"/>
              <w:rPr/>
            </w:pPr>
            <w:r>
              <w:rPr/>
            </w:r>
          </w:p>
          <w:p>
            <w:pPr>
              <w:pStyle w:val="Normal"/>
              <w:widowControl w:val="false"/>
              <w:rPr/>
            </w:pPr>
            <w:r>
              <w:rPr/>
              <w:t>Il comprend notamment :</w:t>
            </w:r>
          </w:p>
          <w:p>
            <w:pPr>
              <w:pStyle w:val="ListParagraph"/>
              <w:widowControl w:val="false"/>
              <w:numPr>
                <w:ilvl w:val="0"/>
                <w:numId w:val="17"/>
              </w:numPr>
              <w:rPr/>
            </w:pPr>
            <w:r>
              <w:rPr/>
              <w:t>Le nettoyage et la préparation des supports (brossage, ponçage ou décapage si nécessaire) ;</w:t>
            </w:r>
          </w:p>
          <w:p>
            <w:pPr>
              <w:pStyle w:val="ListParagraph"/>
              <w:widowControl w:val="false"/>
              <w:numPr>
                <w:ilvl w:val="0"/>
                <w:numId w:val="17"/>
              </w:numPr>
              <w:rPr/>
            </w:pPr>
            <w:r>
              <w:rPr/>
              <w:t>La fourniture du produit de galvanisation à froid ;</w:t>
            </w:r>
          </w:p>
          <w:p>
            <w:pPr>
              <w:pStyle w:val="ListParagraph"/>
              <w:widowControl w:val="false"/>
              <w:numPr>
                <w:ilvl w:val="0"/>
                <w:numId w:val="17"/>
              </w:numPr>
              <w:rPr/>
            </w:pPr>
            <w:r>
              <w:rPr/>
              <w:t>L’application en une ou plusieurs couches selon l’épaisseur prescrite ;</w:t>
            </w:r>
          </w:p>
          <w:p>
            <w:pPr>
              <w:pStyle w:val="ListParagraph"/>
              <w:widowControl w:val="false"/>
              <w:numPr>
                <w:ilvl w:val="0"/>
                <w:numId w:val="17"/>
              </w:numPr>
              <w:rPr/>
            </w:pPr>
            <w:r>
              <w:rPr/>
              <w:t>Les protections des zones adjacentes et toutes sujétions d’exécution.</w:t>
            </w:r>
          </w:p>
          <w:p>
            <w:pPr>
              <w:pStyle w:val="ListParagraph"/>
              <w:widowControl w:val="false"/>
              <w:numPr>
                <w:ilvl w:val="0"/>
                <w:numId w:val="17"/>
              </w:numPr>
              <w:rPr/>
            </w:pPr>
            <w:r>
              <w:rPr/>
              <w:t>Le nettoyage après travaux ;</w:t>
            </w:r>
          </w:p>
          <w:p>
            <w:pPr>
              <w:pStyle w:val="Normal"/>
              <w:widowControl w:val="false"/>
              <w:rPr/>
            </w:pPr>
            <w:r>
              <w:rPr/>
            </w:r>
          </w:p>
          <w:p>
            <w:pPr>
              <w:pStyle w:val="Normal"/>
              <w:widowControl w:val="false"/>
              <w:rPr/>
            </w:pPr>
            <w:r>
              <w:rPr/>
              <w:t>Ce prix est réglé mensuellement sur décompte des quantités réalisées.</w:t>
            </w:r>
          </w:p>
          <w:p>
            <w:pPr>
              <w:pStyle w:val="Normal"/>
              <w:widowControl w:val="false"/>
              <w:spacing w:before="0" w:after="120"/>
              <w:rPr/>
            </w:pPr>
            <w:r>
              <w:rPr/>
            </w:r>
          </w:p>
        </w:tc>
      </w:tr>
      <w:tr>
        <w:trPr>
          <w:trHeight w:val="1304" w:hRule="atLeast"/>
        </w:trPr>
        <w:tc>
          <w:tcPr>
            <w:tcW w:w="1259" w:type="dxa"/>
            <w:vMerge w:val="continue"/>
            <w:tcBorders>
              <w:top w:val="single" w:sz="8" w:space="0" w:color="000000"/>
              <w:left w:val="single" w:sz="8" w:space="0" w:color="000000"/>
              <w:bottom w:val="single" w:sz="8" w:space="0" w:color="000000"/>
              <w:right w:val="single" w:sz="8" w:space="0" w:color="000000"/>
            </w:tcBorders>
            <w:vAlign w:val="center"/>
          </w:tcPr>
          <w:p>
            <w:pPr>
              <w:pStyle w:val="Normal"/>
              <w:widowControl/>
              <w:suppressAutoHyphens w:val="true"/>
              <w:bidi w:val="0"/>
              <w:spacing w:before="0" w:after="120"/>
              <w:jc w:val="both"/>
              <w:rPr/>
            </w:pPr>
            <w:r>
              <w:rPr/>
            </w:r>
          </w:p>
        </w:tc>
        <w:tc>
          <w:tcPr>
            <w:tcW w:w="5221" w:type="dxa"/>
            <w:tcBorders>
              <w:top w:val="single" w:sz="8" w:space="0" w:color="000000"/>
              <w:left w:val="single" w:sz="8" w:space="0" w:color="000000"/>
              <w:bottom w:val="single" w:sz="8" w:space="0" w:color="000000"/>
              <w:right w:val="single" w:sz="8" w:space="0" w:color="000000"/>
            </w:tcBorders>
          </w:tcPr>
          <w:p>
            <w:pPr>
              <w:pStyle w:val="Normal"/>
              <w:widowControl w:val="false"/>
              <w:tabs>
                <w:tab w:val="clear" w:pos="708"/>
                <w:tab w:val="center" w:pos="4536" w:leader="none"/>
                <w:tab w:val="right" w:pos="9072" w:leader="none"/>
              </w:tabs>
              <w:rPr>
                <w:b/>
                <w:bCs/>
              </w:rPr>
            </w:pPr>
            <w:r>
              <w:rPr>
                <w:b/>
                <w:bCs/>
              </w:rPr>
              <w:t>Le mètre carré (en lettres)</w:t>
            </w:r>
          </w:p>
          <w:p>
            <w:pPr>
              <w:pStyle w:val="Normal"/>
              <w:widowControl w:val="false"/>
              <w:tabs>
                <w:tab w:val="clear" w:pos="708"/>
                <w:tab w:val="center" w:pos="4536" w:leader="none"/>
                <w:tab w:val="right" w:pos="9072" w:leader="none"/>
              </w:tabs>
              <w:spacing w:before="0" w:after="120"/>
              <w:jc w:val="left"/>
              <w:rPr/>
            </w:pPr>
            <w:r>
              <w:rPr/>
            </w:r>
          </w:p>
        </w:tc>
        <w:tc>
          <w:tcPr>
            <w:tcW w:w="2591" w:type="dxa"/>
            <w:tcBorders>
              <w:top w:val="single" w:sz="8" w:space="0" w:color="000000"/>
              <w:left w:val="single" w:sz="8" w:space="0" w:color="000000"/>
              <w:bottom w:val="single" w:sz="8" w:space="0" w:color="000000"/>
              <w:right w:val="single" w:sz="8" w:space="0" w:color="000000"/>
            </w:tcBorders>
          </w:tcPr>
          <w:p>
            <w:pPr>
              <w:pStyle w:val="Normal"/>
              <w:widowControl w:val="false"/>
              <w:tabs>
                <w:tab w:val="clear" w:pos="708"/>
                <w:tab w:val="center" w:pos="4536" w:leader="none"/>
                <w:tab w:val="right" w:pos="9072" w:leader="none"/>
              </w:tabs>
              <w:jc w:val="left"/>
              <w:rPr>
                <w:b/>
                <w:bCs/>
              </w:rPr>
            </w:pPr>
            <w:r>
              <w:rPr>
                <w:b/>
                <w:bCs/>
              </w:rPr>
              <w:t>Le mètre carré (en chiffres)</w:t>
            </w:r>
          </w:p>
          <w:p>
            <w:pPr>
              <w:pStyle w:val="Normal"/>
              <w:widowControl w:val="false"/>
              <w:tabs>
                <w:tab w:val="clear" w:pos="708"/>
                <w:tab w:val="center" w:pos="4536" w:leader="none"/>
                <w:tab w:val="right" w:pos="9072" w:leader="none"/>
              </w:tabs>
              <w:spacing w:before="0" w:after="120"/>
              <w:jc w:val="left"/>
              <w:rPr/>
            </w:pPr>
            <w:r>
              <w:rPr/>
            </w:r>
          </w:p>
        </w:tc>
      </w:tr>
    </w:tbl>
    <w:p>
      <w:pPr>
        <w:pStyle w:val="Normal"/>
        <w:rPr/>
      </w:pPr>
      <w:r>
        <w:rPr/>
      </w:r>
    </w:p>
    <w:p>
      <w:pPr>
        <w:pStyle w:val="Normal"/>
        <w:rPr/>
        <w:sectPr>
          <w:headerReference w:type="default" r:id="rId46"/>
          <w:headerReference w:type="first" r:id="rId47"/>
          <w:footerReference w:type="default" r:id="rId48"/>
          <w:footerReference w:type="first" r:id="rId49"/>
          <w:type w:val="nextPage"/>
          <w:pgSz w:w="11906" w:h="16838"/>
          <w:pgMar w:left="1417" w:right="1417" w:gutter="0" w:header="708" w:top="1985" w:footer="292" w:bottom="1560"/>
          <w:pgNumType w:fmt="decimal"/>
          <w:formProt w:val="false"/>
          <w:textDirection w:val="lrTb"/>
          <w:docGrid w:type="default" w:linePitch="360" w:charSpace="16384"/>
        </w:sectPr>
      </w:pPr>
      <w:r>
        <w:rPr/>
      </w:r>
    </w:p>
    <w:p>
      <w:pPr>
        <w:pStyle w:val="Normal"/>
        <w:rPr/>
      </w:pPr>
      <w:r>
        <w:rPr/>
      </w:r>
    </w:p>
    <w:tbl>
      <w:tblPr>
        <w:tblW w:w="9071" w:type="dxa"/>
        <w:jc w:val="left"/>
        <w:tblInd w:w="108" w:type="dxa"/>
        <w:tblLayout w:type="fixed"/>
        <w:tblCellMar>
          <w:top w:w="0" w:type="dxa"/>
          <w:left w:w="108" w:type="dxa"/>
          <w:bottom w:w="0" w:type="dxa"/>
          <w:right w:w="108" w:type="dxa"/>
        </w:tblCellMar>
      </w:tblPr>
      <w:tblGrid>
        <w:gridCol w:w="1259"/>
        <w:gridCol w:w="5221"/>
        <w:gridCol w:w="2591"/>
      </w:tblGrid>
      <w:tr>
        <w:trPr/>
        <w:tc>
          <w:tcPr>
            <w:tcW w:w="1259" w:type="dxa"/>
            <w:tcBorders>
              <w:top w:val="single" w:sz="8" w:space="0" w:color="000000"/>
              <w:left w:val="single" w:sz="8" w:space="0" w:color="000000"/>
              <w:bottom w:val="single" w:sz="8" w:space="0" w:color="000000"/>
              <w:right w:val="single" w:sz="8" w:space="0" w:color="000000"/>
            </w:tcBorders>
            <w:shd w:fill="009782" w:val="clear"/>
          </w:tcPr>
          <w:p>
            <w:pPr>
              <w:pStyle w:val="Normal"/>
              <w:widowControl w:val="false"/>
              <w:tabs>
                <w:tab w:val="clear" w:pos="708"/>
                <w:tab w:val="center" w:pos="4536" w:leader="none"/>
                <w:tab w:val="right" w:pos="9072" w:leader="none"/>
              </w:tabs>
              <w:spacing w:before="120" w:after="120"/>
              <w:jc w:val="center"/>
              <w:rPr>
                <w:b/>
                <w:bCs/>
                <w:i/>
                <w:color w:val="FFFFFF"/>
              </w:rPr>
            </w:pPr>
            <w:r>
              <w:rPr>
                <w:b/>
                <w:bCs/>
                <w:i/>
                <w:color w:val="FFFFFF"/>
              </w:rPr>
              <w:t>N° PRIX</w:t>
            </w:r>
          </w:p>
        </w:tc>
        <w:tc>
          <w:tcPr>
            <w:tcW w:w="7812" w:type="dxa"/>
            <w:gridSpan w:val="2"/>
            <w:tcBorders>
              <w:top w:val="single" w:sz="8" w:space="0" w:color="000000"/>
              <w:left w:val="single" w:sz="8" w:space="0" w:color="000000"/>
              <w:bottom w:val="single" w:sz="8" w:space="0" w:color="000000"/>
              <w:right w:val="single" w:sz="8" w:space="0" w:color="000000"/>
            </w:tcBorders>
            <w:shd w:fill="009782" w:val="clear"/>
            <w:vAlign w:val="center"/>
          </w:tcPr>
          <w:p>
            <w:pPr>
              <w:pStyle w:val="Normal"/>
              <w:widowControl w:val="false"/>
              <w:tabs>
                <w:tab w:val="clear" w:pos="708"/>
                <w:tab w:val="center" w:pos="4536" w:leader="none"/>
                <w:tab w:val="right" w:pos="9072" w:leader="none"/>
              </w:tabs>
              <w:spacing w:before="120" w:after="120"/>
              <w:jc w:val="center"/>
              <w:rPr>
                <w:b/>
                <w:bCs/>
                <w:i/>
                <w:color w:val="FFFFFF"/>
              </w:rPr>
            </w:pPr>
            <w:r>
              <w:rPr>
                <w:b/>
                <w:bCs/>
                <w:i/>
                <w:color w:val="FFFFFF"/>
              </w:rPr>
              <w:t>DESIGNATION DES OUVRAGES ET PRIX HORS TAXE</w:t>
            </w:r>
          </w:p>
        </w:tc>
      </w:tr>
      <w:tr>
        <w:trPr/>
        <w:tc>
          <w:tcPr>
            <w:tcW w:w="1259" w:type="dxa"/>
            <w:vMerge w:val="restart"/>
            <w:tcBorders>
              <w:top w:val="single" w:sz="8" w:space="0" w:color="000000"/>
              <w:left w:val="single" w:sz="8" w:space="0" w:color="000000"/>
              <w:bottom w:val="single" w:sz="8" w:space="0" w:color="000000"/>
              <w:right w:val="single" w:sz="8" w:space="0" w:color="000000"/>
            </w:tcBorders>
          </w:tcPr>
          <w:p>
            <w:pPr>
              <w:pStyle w:val="Normal"/>
              <w:widowControl w:val="false"/>
              <w:spacing w:before="0" w:after="120"/>
              <w:jc w:val="center"/>
              <w:rPr>
                <w:b/>
                <w:bCs/>
              </w:rPr>
            </w:pPr>
            <w:r>
              <w:rPr>
                <w:b/>
                <w:bCs/>
              </w:rPr>
              <w:t>606</w:t>
            </w:r>
          </w:p>
        </w:tc>
        <w:tc>
          <w:tcPr>
            <w:tcW w:w="7812" w:type="dxa"/>
            <w:gridSpan w:val="2"/>
            <w:tcBorders>
              <w:top w:val="single" w:sz="8" w:space="0" w:color="000000"/>
              <w:left w:val="single" w:sz="8" w:space="0" w:color="000000"/>
              <w:bottom w:val="single" w:sz="8" w:space="0" w:color="000000"/>
              <w:right w:val="single" w:sz="8" w:space="0" w:color="000000"/>
            </w:tcBorders>
            <w:vAlign w:val="center"/>
          </w:tcPr>
          <w:p>
            <w:pPr>
              <w:pStyle w:val="Normal"/>
              <w:widowControl w:val="false"/>
              <w:rPr>
                <w:b/>
                <w:bCs/>
                <w:smallCaps/>
                <w:color w:val="339966"/>
                <w:spacing w:val="-6"/>
                <w:sz w:val="24"/>
                <w:szCs w:val="24"/>
              </w:rPr>
            </w:pPr>
            <w:r>
              <w:rPr>
                <w:b/>
                <w:bCs/>
                <w:smallCaps/>
                <w:color w:val="339966"/>
                <w:spacing w:val="-6"/>
                <w:sz w:val="24"/>
                <w:szCs w:val="24"/>
              </w:rPr>
              <w:t>Repose de la grille de protection</w:t>
            </w:r>
          </w:p>
          <w:p>
            <w:pPr>
              <w:pStyle w:val="Normal"/>
              <w:widowControl w:val="false"/>
              <w:rPr/>
            </w:pPr>
            <w:r>
              <w:rPr/>
              <w:t>Ce prix rémunère, au forfait</w:t>
            </w:r>
            <w:r>
              <w:rPr>
                <w:b/>
                <w:bCs/>
              </w:rPr>
              <w:t>,</w:t>
            </w:r>
            <w:r>
              <w:rPr/>
              <w:t xml:space="preserve"> la repose de la grille de protection existante à l’issue des travaux de mise en œuvre du nouveau système antibruit, </w:t>
            </w:r>
          </w:p>
          <w:p>
            <w:pPr>
              <w:pStyle w:val="Normal"/>
              <w:widowControl w:val="false"/>
              <w:rPr/>
            </w:pPr>
            <w:r>
              <w:rPr/>
              <w:t>Il comprend notamment :</w:t>
            </w:r>
          </w:p>
          <w:p>
            <w:pPr>
              <w:pStyle w:val="ListParagraph"/>
              <w:widowControl w:val="false"/>
              <w:numPr>
                <w:ilvl w:val="0"/>
                <w:numId w:val="17"/>
              </w:numPr>
              <w:rPr>
                <w:b/>
                <w:bCs w:val="false"/>
              </w:rPr>
            </w:pPr>
            <w:r>
              <w:rPr>
                <w:b/>
                <w:bCs w:val="false"/>
              </w:rPr>
              <w:t>Tous les moyens de levage, quels qu’ils soient, nécessaires à l’exécution de la méthode et du phasage de repose proposée par l’entrepreneur et validé par le maitre d’œuvre ;</w:t>
            </w:r>
          </w:p>
          <w:p>
            <w:pPr>
              <w:pStyle w:val="ListParagraph"/>
              <w:widowControl w:val="false"/>
              <w:numPr>
                <w:ilvl w:val="0"/>
                <w:numId w:val="17"/>
              </w:numPr>
              <w:rPr/>
            </w:pPr>
            <w:r>
              <w:rPr/>
              <w:t>L’ensemble des moyens d’accès pour permettre l’intervention à pied d’œuvre du personnel en charge de la mise en œuvre ;</w:t>
            </w:r>
          </w:p>
          <w:p>
            <w:pPr>
              <w:pStyle w:val="ListParagraph"/>
              <w:widowControl w:val="false"/>
              <w:numPr>
                <w:ilvl w:val="0"/>
                <w:numId w:val="17"/>
              </w:numPr>
              <w:rPr/>
            </w:pPr>
            <w:r>
              <w:rPr/>
              <w:t>La manutention et la mise en place de la grille ;</w:t>
            </w:r>
          </w:p>
          <w:p>
            <w:pPr>
              <w:pStyle w:val="ListParagraph"/>
              <w:widowControl w:val="false"/>
              <w:numPr>
                <w:ilvl w:val="0"/>
                <w:numId w:val="17"/>
              </w:numPr>
              <w:rPr/>
            </w:pPr>
            <w:r>
              <w:rPr/>
              <w:t>Le réglage, l’alignement et la fixation sur les supports existants ;</w:t>
            </w:r>
          </w:p>
          <w:p>
            <w:pPr>
              <w:pStyle w:val="ListParagraph"/>
              <w:widowControl w:val="false"/>
              <w:numPr>
                <w:ilvl w:val="0"/>
                <w:numId w:val="17"/>
              </w:numPr>
              <w:rPr/>
            </w:pPr>
            <w:r>
              <w:rPr/>
              <w:t>La fourniture et la mise en œuvre des fixations et accessoires nécessaires (boulonnerie, chevilles, platines, etc.) ;</w:t>
            </w:r>
          </w:p>
          <w:p>
            <w:pPr>
              <w:pStyle w:val="ListParagraph"/>
              <w:widowControl w:val="false"/>
              <w:numPr>
                <w:ilvl w:val="0"/>
                <w:numId w:val="17"/>
              </w:numPr>
              <w:rPr/>
            </w:pPr>
            <w:r>
              <w:rPr/>
              <w:t>Le nettoyage après travaux ;</w:t>
            </w:r>
          </w:p>
          <w:p>
            <w:pPr>
              <w:pStyle w:val="Normal"/>
              <w:widowControl w:val="false"/>
              <w:rPr/>
            </w:pPr>
            <w:r>
              <w:rPr/>
            </w:r>
          </w:p>
          <w:p>
            <w:pPr>
              <w:pStyle w:val="Normal"/>
              <w:widowControl w:val="false"/>
              <w:rPr/>
            </w:pPr>
            <w:r>
              <w:rPr/>
              <w:t>Ce prix est réglé à 100% après constat de la repose de la grille de protection des verrières.</w:t>
            </w:r>
          </w:p>
          <w:p>
            <w:pPr>
              <w:pStyle w:val="Normal"/>
              <w:widowControl w:val="false"/>
              <w:spacing w:before="0" w:after="120"/>
              <w:rPr/>
            </w:pPr>
            <w:r>
              <w:rPr/>
            </w:r>
          </w:p>
        </w:tc>
      </w:tr>
      <w:tr>
        <w:trPr>
          <w:trHeight w:val="1304" w:hRule="atLeast"/>
        </w:trPr>
        <w:tc>
          <w:tcPr>
            <w:tcW w:w="1259" w:type="dxa"/>
            <w:vMerge w:val="continue"/>
            <w:tcBorders>
              <w:top w:val="single" w:sz="8" w:space="0" w:color="000000"/>
              <w:left w:val="single" w:sz="8" w:space="0" w:color="000000"/>
              <w:bottom w:val="single" w:sz="8" w:space="0" w:color="000000"/>
              <w:right w:val="single" w:sz="8" w:space="0" w:color="000000"/>
            </w:tcBorders>
            <w:vAlign w:val="center"/>
          </w:tcPr>
          <w:p>
            <w:pPr>
              <w:pStyle w:val="Normal"/>
              <w:widowControl/>
              <w:suppressAutoHyphens w:val="true"/>
              <w:bidi w:val="0"/>
              <w:spacing w:before="0" w:after="120"/>
              <w:jc w:val="both"/>
              <w:rPr/>
            </w:pPr>
            <w:r>
              <w:rPr/>
            </w:r>
          </w:p>
        </w:tc>
        <w:tc>
          <w:tcPr>
            <w:tcW w:w="5221" w:type="dxa"/>
            <w:tcBorders>
              <w:top w:val="single" w:sz="8" w:space="0" w:color="000000"/>
              <w:left w:val="single" w:sz="8" w:space="0" w:color="000000"/>
              <w:bottom w:val="single" w:sz="8" w:space="0" w:color="000000"/>
              <w:right w:val="single" w:sz="8" w:space="0" w:color="000000"/>
            </w:tcBorders>
          </w:tcPr>
          <w:p>
            <w:pPr>
              <w:pStyle w:val="Normal"/>
              <w:widowControl w:val="false"/>
              <w:tabs>
                <w:tab w:val="clear" w:pos="708"/>
                <w:tab w:val="center" w:pos="4536" w:leader="none"/>
                <w:tab w:val="right" w:pos="9072" w:leader="none"/>
              </w:tabs>
              <w:rPr>
                <w:b/>
                <w:bCs/>
              </w:rPr>
            </w:pPr>
            <w:r>
              <w:rPr>
                <w:b/>
                <w:bCs/>
              </w:rPr>
              <w:t>Le forfait (en lettres)</w:t>
            </w:r>
          </w:p>
          <w:p>
            <w:pPr>
              <w:pStyle w:val="Normal"/>
              <w:widowControl w:val="false"/>
              <w:tabs>
                <w:tab w:val="clear" w:pos="708"/>
                <w:tab w:val="center" w:pos="4536" w:leader="none"/>
                <w:tab w:val="right" w:pos="9072" w:leader="none"/>
              </w:tabs>
              <w:spacing w:before="0" w:after="120"/>
              <w:jc w:val="left"/>
              <w:rPr/>
            </w:pPr>
            <w:r>
              <w:rPr/>
            </w:r>
          </w:p>
        </w:tc>
        <w:tc>
          <w:tcPr>
            <w:tcW w:w="2591" w:type="dxa"/>
            <w:tcBorders>
              <w:top w:val="single" w:sz="8" w:space="0" w:color="000000"/>
              <w:left w:val="single" w:sz="8" w:space="0" w:color="000000"/>
              <w:bottom w:val="single" w:sz="8" w:space="0" w:color="000000"/>
              <w:right w:val="single" w:sz="8" w:space="0" w:color="000000"/>
            </w:tcBorders>
          </w:tcPr>
          <w:p>
            <w:pPr>
              <w:pStyle w:val="Normal"/>
              <w:widowControl w:val="false"/>
              <w:tabs>
                <w:tab w:val="clear" w:pos="708"/>
                <w:tab w:val="center" w:pos="4536" w:leader="none"/>
                <w:tab w:val="right" w:pos="9072" w:leader="none"/>
              </w:tabs>
              <w:jc w:val="left"/>
              <w:rPr>
                <w:b/>
                <w:bCs/>
              </w:rPr>
            </w:pPr>
            <w:r>
              <w:rPr>
                <w:b/>
                <w:bCs/>
              </w:rPr>
              <w:t>Le forfait (en chiffres)</w:t>
            </w:r>
          </w:p>
          <w:p>
            <w:pPr>
              <w:pStyle w:val="Normal"/>
              <w:widowControl w:val="false"/>
              <w:tabs>
                <w:tab w:val="clear" w:pos="708"/>
                <w:tab w:val="center" w:pos="4536" w:leader="none"/>
                <w:tab w:val="right" w:pos="9072" w:leader="none"/>
              </w:tabs>
              <w:spacing w:before="0" w:after="120"/>
              <w:jc w:val="left"/>
              <w:rPr/>
            </w:pPr>
            <w:r>
              <w:rPr/>
            </w:r>
          </w:p>
        </w:tc>
      </w:tr>
    </w:tbl>
    <w:p>
      <w:pPr>
        <w:pStyle w:val="Normal"/>
        <w:widowControl/>
        <w:suppressAutoHyphens w:val="true"/>
        <w:bidi w:val="0"/>
        <w:spacing w:before="0" w:after="120"/>
        <w:jc w:val="both"/>
        <w:rPr/>
      </w:pPr>
      <w:r>
        <w:rPr/>
      </w:r>
    </w:p>
    <w:sectPr>
      <w:headerReference w:type="default" r:id="rId50"/>
      <w:headerReference w:type="first" r:id="rId51"/>
      <w:footerReference w:type="default" r:id="rId52"/>
      <w:footerReference w:type="first" r:id="rId53"/>
      <w:type w:val="nextPage"/>
      <w:pgSz w:w="11906" w:h="16838"/>
      <w:pgMar w:left="1417" w:right="1417" w:gutter="0" w:header="708" w:top="1985" w:footer="292" w:bottom="1560"/>
      <w:pgNumType w:fmt="decimal"/>
      <w:formProt w:val="false"/>
      <w:textDirection w:val="lrTb"/>
      <w:docGrid w:type="default" w:linePitch="360" w:charSpace="16384"/>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Arial">
    <w:charset w:val="00"/>
    <w:family w:val="roman"/>
    <w:pitch w:val="variable"/>
  </w:font>
  <w:font w:name="Arial Gras">
    <w:charset w:val="00"/>
    <w:family w:val="roman"/>
    <w:pitch w:val="variable"/>
  </w:font>
  <w:font w:name="Cambria">
    <w:charset w:val="00"/>
    <w:family w:val="roman"/>
    <w:pitch w:val="variable"/>
  </w:font>
  <w:font w:name="Tahoma">
    <w:charset w:val="00"/>
    <w:family w:val="roman"/>
    <w:pitch w:val="variable"/>
  </w:font>
  <w:font w:name="Calibri">
    <w:charset w:val="00"/>
    <w:family w:val="roman"/>
    <w:pitch w:val="variable"/>
  </w:font>
  <w:font w:name="Verdana">
    <w:charset w:val="00"/>
    <w:family w:val="roman"/>
    <w:pitch w:val="variable"/>
  </w:font>
  <w:font w:name="Liberation Sans">
    <w:altName w:val="Arial"/>
    <w:charset w:val="00"/>
    <w:family w:val="roman"/>
    <w:pitch w:val="variable"/>
  </w:font>
  <w:font w:name="Univers">
    <w:charset w:val="00"/>
    <w:family w:val="roman"/>
    <w:pitch w:val="variable"/>
  </w:font>
  <w:font w:name="CG Times">
    <w:charset w:val="00"/>
    <w:family w:val="roman"/>
    <w:pitch w:val="variable"/>
  </w:font>
  <w:font w:name="FuturaA Bk BT">
    <w:charset w:val="00"/>
    <w:family w:val="roman"/>
    <w:pitch w:val="variable"/>
  </w:font>
  <w:font w:name="Dutch801BM">
    <w:charset w:val="00"/>
    <w:family w:val="roman"/>
    <w:pitch w:val="variable"/>
  </w:font>
  <w:font w:name="New Century Schlbk">
    <w:charset w:val="00"/>
    <w:family w:val="roman"/>
    <w:pitch w:val="variable"/>
  </w:font>
  <w:font w:name="Helvetica">
    <w:altName w:val="Arial"/>
    <w:charset w:val="00"/>
    <w:family w:val="roman"/>
    <w:pitch w:val="variable"/>
  </w:font>
  <w:font w:name="Courier New">
    <w:charset w:val="01"/>
    <w:family w:val="modern"/>
    <w:pitch w:val="fixed"/>
  </w:font>
  <w:font w:name="Arial">
    <w:charset w:val="01"/>
    <w:family w:val="swiss"/>
    <w:pitch w:val="variable"/>
  </w:font>
  <w:font w:name="Wingdings">
    <w:charset w:val="02"/>
    <w:family w:val="auto"/>
    <w:pitch w:val="variable"/>
  </w:font>
  <w:font w:name="Webdings">
    <w:charset w:val="02"/>
    <w:family w:val="roman"/>
    <w:pitch w:val="variable"/>
  </w:font>
  <w:font w:name="Wingdings 2">
    <w:charset w:val="02"/>
    <w:family w:val="auto"/>
    <w:pitch w:val="default"/>
  </w:font>
  <w:font w:name="Times New Roman">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Spacing"/>
      <w:jc w:val="center"/>
      <w:rPr>
        <w:sz w:val="14"/>
        <w:szCs w:val="16"/>
      </w:rPr>
    </w:pPr>
    <w:r>
      <w:rPr>
        <w:sz w:val="14"/>
        <w:szCs w:val="16"/>
      </w:rPr>
      <w:drawing>
        <wp:anchor distT="0" distB="0" distL="0" distR="0" simplePos="0" relativeHeight="2" behindDoc="1" locked="0" layoutInCell="0" allowOverlap="1">
          <wp:simplePos x="0" y="0"/>
          <wp:positionH relativeFrom="page">
            <wp:posOffset>6463030</wp:posOffset>
          </wp:positionH>
          <wp:positionV relativeFrom="paragraph">
            <wp:posOffset>-566420</wp:posOffset>
          </wp:positionV>
          <wp:extent cx="1135380" cy="951230"/>
          <wp:effectExtent l="0" t="0" r="0" b="0"/>
          <wp:wrapNone/>
          <wp:docPr id="7" name="Image 1638986041" descr="Une image contenant text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 1638986041" descr="Une image contenant texte&#10;&#10;Description générée automatiquement"/>
                  <pic:cNvPicPr>
                    <a:picLocks noChangeAspect="1" noChangeArrowheads="1"/>
                  </pic:cNvPicPr>
                </pic:nvPicPr>
                <pic:blipFill>
                  <a:blip r:embed="rId1"/>
                  <a:stretch>
                    <a:fillRect/>
                  </a:stretch>
                </pic:blipFill>
                <pic:spPr bwMode="auto">
                  <a:xfrm>
                    <a:off x="0" y="0"/>
                    <a:ext cx="1135380" cy="951230"/>
                  </a:xfrm>
                  <a:prstGeom prst="rect">
                    <a:avLst/>
                  </a:prstGeom>
                  <a:noFill/>
                </pic:spPr>
              </pic:pic>
            </a:graphicData>
          </a:graphic>
        </wp:anchor>
      </w:drawing>
      <mc:AlternateContent>
        <mc:Choice Requires="wps">
          <w:drawing>
            <wp:anchor distT="0" distB="0" distL="0" distR="0" simplePos="0" relativeHeight="3" behindDoc="1" locked="0" layoutInCell="0" allowOverlap="1">
              <wp:simplePos x="0" y="0"/>
              <wp:positionH relativeFrom="margin">
                <wp:posOffset>184150</wp:posOffset>
              </wp:positionH>
              <wp:positionV relativeFrom="paragraph">
                <wp:posOffset>-627380</wp:posOffset>
              </wp:positionV>
              <wp:extent cx="6496050" cy="1282700"/>
              <wp:effectExtent l="0" t="0" r="0" b="0"/>
              <wp:wrapNone/>
              <wp:docPr id="8" name="Zone de texte 3"/>
              <a:graphic xmlns:a="http://schemas.openxmlformats.org/drawingml/2006/main">
                <a:graphicData uri="http://schemas.microsoft.com/office/word/2010/wordprocessingShape">
                  <wps:wsp>
                    <wps:cNvSpPr/>
                    <wps:spPr>
                      <a:xfrm>
                        <a:off x="0" y="0"/>
                        <a:ext cx="6496200" cy="1282680"/>
                      </a:xfrm>
                      <a:prstGeom prst="rect">
                        <a:avLst/>
                      </a:prstGeom>
                      <a:noFill/>
                      <a:ln w="9360">
                        <a:noFill/>
                      </a:ln>
                    </wps:spPr>
                    <wps:style>
                      <a:lnRef idx="0"/>
                      <a:fillRef idx="0"/>
                      <a:effectRef idx="0"/>
                      <a:fontRef idx="minor"/>
                    </wps:style>
                    <wps:txbx>
                      <w:txbxContent>
                        <w:tbl>
                          <w:tblPr>
                            <w:tblW w:w="11203" w:type="dxa"/>
                            <w:jc w:val="left"/>
                            <w:tblInd w:w="-289" w:type="dxa"/>
                            <w:tblLayout w:type="fixed"/>
                            <w:tblCellMar>
                              <w:top w:w="0" w:type="dxa"/>
                              <w:left w:w="108" w:type="dxa"/>
                              <w:bottom w:w="0" w:type="dxa"/>
                              <w:right w:w="108" w:type="dxa"/>
                            </w:tblCellMar>
                          </w:tblPr>
                          <w:tblGrid>
                            <w:gridCol w:w="2267"/>
                            <w:gridCol w:w="2558"/>
                            <w:gridCol w:w="2266"/>
                            <w:gridCol w:w="1984"/>
                            <w:gridCol w:w="2128"/>
                          </w:tblGrid>
                          <w:tr>
                            <w:trPr>
                              <w:trHeight w:val="1096" w:hRule="atLeast"/>
                            </w:trPr>
                            <w:tc>
                              <w:tcPr>
                                <w:tcW w:w="2267" w:type="dxa"/>
                                <w:tcBorders/>
                              </w:tcPr>
                              <w:p>
                                <w:pPr>
                                  <w:pStyle w:val="Footer"/>
                                  <w:widowControl w:val="false"/>
                                  <w:suppressAutoHyphens w:val="true"/>
                                  <w:spacing w:before="0" w:after="0"/>
                                  <w:rPr>
                                    <w:rFonts w:cs="Times New Roman"/>
                                    <w:b/>
                                    <w:color w:val="000000"/>
                                    <w:kern w:val="0"/>
                                    <w:sz w:val="12"/>
                                    <w:szCs w:val="12"/>
                                    <w:lang w:val="fr-FR" w:bidi="ar-SA"/>
                                  </w:rPr>
                                </w:pPr>
                                <w:r>
                                  <w:rPr>
                                    <w:rFonts w:cs="Times New Roman"/>
                                    <w:b/>
                                    <w:color w:val="000000"/>
                                    <w:kern w:val="0"/>
                                    <w:sz w:val="12"/>
                                    <w:szCs w:val="12"/>
                                    <w:lang w:val="fr-FR" w:bidi="ar-SA"/>
                                  </w:rPr>
                                  <w:t xml:space="preserve">  </w:t>
                                </w:r>
                                <w:r>
                                  <w:rPr>
                                    <w:rFonts w:cs="Times New Roman"/>
                                    <w:b/>
                                    <w:color w:val="000000"/>
                                    <w:kern w:val="0"/>
                                    <w:sz w:val="12"/>
                                    <w:szCs w:val="12"/>
                                    <w:lang w:val="fr-FR" w:bidi="ar-SA"/>
                                  </w:rPr>
                                  <w:t>Direction et Agence Sud-Est</w:t>
                                </w:r>
                              </w:p>
                              <w:p>
                                <w:pPr>
                                  <w:pStyle w:val="Footer"/>
                                  <w:widowControl w:val="false"/>
                                  <w:suppressAutoHyphens w:val="true"/>
                                  <w:spacing w:before="0" w:after="0"/>
                                  <w:rPr>
                                    <w:rFonts w:cs="Times New Roman"/>
                                    <w:color w:val="000000"/>
                                    <w:kern w:val="0"/>
                                    <w:sz w:val="12"/>
                                    <w:szCs w:val="12"/>
                                    <w:lang w:val="fr-FR" w:bidi="ar-SA"/>
                                  </w:rPr>
                                </w:pPr>
                                <w:r>
                                  <w:rPr>
                                    <w:rFonts w:cs="Times New Roman"/>
                                    <w:color w:val="000000"/>
                                    <w:kern w:val="0"/>
                                    <w:sz w:val="12"/>
                                    <w:szCs w:val="12"/>
                                    <w:lang w:val="fr-FR" w:bidi="ar-SA"/>
                                  </w:rPr>
                                  <w:t xml:space="preserve">  </w:t>
                                </w:r>
                                <w:r>
                                  <w:rPr>
                                    <w:rFonts w:cs="Times New Roman"/>
                                    <w:color w:val="000000"/>
                                    <w:kern w:val="0"/>
                                    <w:sz w:val="12"/>
                                    <w:szCs w:val="12"/>
                                    <w:lang w:val="fr-FR" w:bidi="ar-SA"/>
                                  </w:rPr>
                                  <w:t>ZAC Le Griffon</w:t>
                                </w:r>
                              </w:p>
                              <w:p>
                                <w:pPr>
                                  <w:pStyle w:val="Footer"/>
                                  <w:widowControl w:val="false"/>
                                  <w:suppressAutoHyphens w:val="true"/>
                                  <w:spacing w:before="0" w:after="0"/>
                                  <w:rPr>
                                    <w:rFonts w:cs="Times New Roman"/>
                                    <w:color w:val="000000"/>
                                    <w:kern w:val="0"/>
                                    <w:sz w:val="12"/>
                                    <w:szCs w:val="12"/>
                                    <w:lang w:val="fr-FR" w:bidi="ar-SA"/>
                                  </w:rPr>
                                </w:pPr>
                                <w:r>
                                  <w:rPr>
                                    <w:rFonts w:cs="Times New Roman"/>
                                    <w:color w:val="000000"/>
                                    <w:kern w:val="0"/>
                                    <w:sz w:val="12"/>
                                    <w:szCs w:val="12"/>
                                    <w:lang w:val="fr-FR" w:bidi="ar-SA"/>
                                  </w:rPr>
                                  <w:t xml:space="preserve">  </w:t>
                                </w:r>
                                <w:r>
                                  <w:rPr>
                                    <w:rFonts w:cs="Times New Roman"/>
                                    <w:color w:val="000000"/>
                                    <w:kern w:val="0"/>
                                    <w:sz w:val="12"/>
                                    <w:szCs w:val="12"/>
                                    <w:lang w:val="fr-FR" w:bidi="ar-SA"/>
                                  </w:rPr>
                                  <w:t>7 Chemin des gorges de Cabriès</w:t>
                                </w:r>
                              </w:p>
                              <w:p>
                                <w:pPr>
                                  <w:pStyle w:val="Footer"/>
                                  <w:widowControl w:val="false"/>
                                  <w:suppressAutoHyphens w:val="true"/>
                                  <w:spacing w:before="0" w:after="0"/>
                                  <w:rPr>
                                    <w:rFonts w:cs="Times New Roman"/>
                                    <w:color w:val="000000"/>
                                    <w:kern w:val="0"/>
                                    <w:sz w:val="12"/>
                                    <w:szCs w:val="12"/>
                                    <w:lang w:val="fr-FR" w:bidi="ar-SA"/>
                                  </w:rPr>
                                </w:pPr>
                                <w:r>
                                  <w:rPr>
                                    <w:rFonts w:cs="Times New Roman"/>
                                    <w:color w:val="000000"/>
                                    <w:kern w:val="0"/>
                                    <w:sz w:val="12"/>
                                    <w:szCs w:val="12"/>
                                    <w:lang w:val="fr-FR" w:bidi="ar-SA"/>
                                  </w:rPr>
                                  <w:t xml:space="preserve">  </w:t>
                                </w:r>
                                <w:r>
                                  <w:rPr>
                                    <w:rFonts w:cs="Times New Roman"/>
                                    <w:color w:val="000000"/>
                                    <w:kern w:val="0"/>
                                    <w:sz w:val="12"/>
                                    <w:szCs w:val="12"/>
                                    <w:lang w:val="fr-FR" w:bidi="ar-SA"/>
                                  </w:rPr>
                                  <w:t>13127 VITROLLES</w:t>
                                </w:r>
                              </w:p>
                              <w:p>
                                <w:pPr>
                                  <w:pStyle w:val="Footer"/>
                                  <w:widowControl w:val="false"/>
                                  <w:suppressAutoHyphens w:val="true"/>
                                  <w:spacing w:before="0" w:after="0"/>
                                  <w:ind w:hanging="180" w:left="180" w:right="0"/>
                                  <w:rPr>
                                    <w:rFonts w:cs="Times New Roman"/>
                                    <w:color w:val="000000"/>
                                    <w:kern w:val="0"/>
                                    <w:sz w:val="12"/>
                                    <w:szCs w:val="12"/>
                                    <w:lang w:val="fr-FR" w:bidi="ar-SA"/>
                                  </w:rPr>
                                </w:pPr>
                                <w:r>
                                  <w:rPr>
                                    <w:rFonts w:cs="Times New Roman"/>
                                    <w:color w:val="000000"/>
                                    <w:kern w:val="0"/>
                                    <w:sz w:val="12"/>
                                    <w:szCs w:val="12"/>
                                    <w:lang w:val="fr-FR" w:bidi="ar-SA"/>
                                  </w:rPr>
                                  <w:t xml:space="preserve">  </w:t>
                                </w:r>
                                <w:r>
                                  <w:rPr>
                                    <w:rFonts w:cs="Times New Roman"/>
                                    <w:color w:val="000000"/>
                                    <w:kern w:val="0"/>
                                    <w:sz w:val="12"/>
                                    <w:szCs w:val="12"/>
                                    <w:lang w:val="fr-FR" w:bidi="ar-SA"/>
                                  </w:rPr>
                                  <w:t>FRANCE</w:t>
                                </w:r>
                              </w:p>
                              <w:p>
                                <w:pPr>
                                  <w:pStyle w:val="Footer"/>
                                  <w:widowControl w:val="false"/>
                                  <w:suppressAutoHyphens w:val="true"/>
                                  <w:spacing w:before="0" w:after="0"/>
                                  <w:rPr>
                                    <w:rFonts w:cs="Times New Roman"/>
                                    <w:color w:val="000000"/>
                                    <w:kern w:val="0"/>
                                    <w:sz w:val="12"/>
                                    <w:szCs w:val="12"/>
                                    <w:lang w:val="fr-FR" w:bidi="ar-SA"/>
                                  </w:rPr>
                                </w:pPr>
                                <w:r>
                                  <w:rPr>
                                    <w:rFonts w:cs="Times New Roman"/>
                                    <w:color w:val="000000"/>
                                    <w:kern w:val="0"/>
                                    <w:sz w:val="12"/>
                                    <w:szCs w:val="12"/>
                                    <w:lang w:val="fr-FR" w:bidi="ar-SA"/>
                                  </w:rPr>
                                  <w:t xml:space="preserve">  </w:t>
                                </w:r>
                                <w:r>
                                  <w:rPr>
                                    <w:rFonts w:cs="Times New Roman"/>
                                    <w:color w:val="000000"/>
                                    <w:kern w:val="0"/>
                                    <w:sz w:val="12"/>
                                    <w:szCs w:val="12"/>
                                    <w:lang w:val="fr-FR" w:bidi="ar-SA"/>
                                  </w:rPr>
                                  <w:t>T : 04 42 12 41 30</w:t>
                                </w:r>
                              </w:p>
                              <w:p>
                                <w:pPr>
                                  <w:pStyle w:val="Footer"/>
                                  <w:widowControl w:val="false"/>
                                  <w:suppressAutoHyphens w:val="true"/>
                                  <w:spacing w:before="0" w:after="0"/>
                                  <w:rPr>
                                    <w:rFonts w:cs="Times New Roman"/>
                                    <w:color w:val="000000"/>
                                    <w:kern w:val="0"/>
                                    <w:sz w:val="12"/>
                                    <w:szCs w:val="12"/>
                                    <w:lang w:val="fr-FR" w:bidi="ar-SA"/>
                                  </w:rPr>
                                </w:pPr>
                                <w:r>
                                  <w:rPr>
                                    <w:rFonts w:cs="Times New Roman"/>
                                    <w:color w:val="000000"/>
                                    <w:kern w:val="0"/>
                                    <w:sz w:val="12"/>
                                    <w:szCs w:val="12"/>
                                    <w:lang w:val="fr-FR" w:bidi="ar-SA"/>
                                  </w:rPr>
                                  <w:t xml:space="preserve">  </w:t>
                                </w:r>
                                <w:r>
                                  <w:rPr>
                                    <w:rFonts w:cs="Times New Roman"/>
                                    <w:color w:val="000000"/>
                                    <w:kern w:val="0"/>
                                    <w:sz w:val="12"/>
                                    <w:szCs w:val="12"/>
                                    <w:lang w:val="fr-FR" w:bidi="ar-SA"/>
                                  </w:rPr>
                                  <w:t>F : 04 42 12 41 39</w:t>
                                </w:r>
                              </w:p>
                              <w:p>
                                <w:pPr>
                                  <w:pStyle w:val="Footer"/>
                                  <w:widowControl w:val="false"/>
                                  <w:suppressAutoHyphens w:val="true"/>
                                  <w:spacing w:before="0" w:after="0"/>
                                  <w:rPr/>
                                </w:pPr>
                                <w:r>
                                  <w:rPr>
                                    <w:rFonts w:cs="Times New Roman"/>
                                    <w:color w:val="000000"/>
                                    <w:kern w:val="0"/>
                                    <w:sz w:val="12"/>
                                    <w:szCs w:val="12"/>
                                    <w:lang w:val="fr-FR" w:bidi="ar-SA"/>
                                  </w:rPr>
                                  <w:t xml:space="preserve"> </w:t>
                                </w:r>
                                <w:hyperlink r:id="rId2">
                                  <w:r>
                                    <w:rPr>
                                      <w:rStyle w:val="Hyperlink"/>
                                      <w:rFonts w:cs="Times New Roman"/>
                                      <w:color w:val="000000"/>
                                      <w:kern w:val="0"/>
                                      <w:sz w:val="12"/>
                                      <w:szCs w:val="12"/>
                                      <w:lang w:val="fr-FR" w:bidi="ar-SA"/>
                                    </w:rPr>
                                    <w:t>diades.aix@setec.com</w:t>
                                  </w:r>
                                </w:hyperlink>
                              </w:p>
                              <w:p>
                                <w:pPr>
                                  <w:pStyle w:val="Footer"/>
                                  <w:widowControl w:val="false"/>
                                  <w:suppressAutoHyphens w:val="true"/>
                                  <w:spacing w:before="0" w:after="0"/>
                                  <w:rPr>
                                    <w:rFonts w:cs="Times New Roman"/>
                                    <w:color w:val="000000"/>
                                    <w:kern w:val="0"/>
                                    <w:sz w:val="12"/>
                                    <w:szCs w:val="12"/>
                                    <w:lang w:val="fr-FR" w:bidi="ar-SA"/>
                                  </w:rPr>
                                </w:pPr>
                                <w:r>
                                  <w:rPr>
                                    <w:rFonts w:cs="Times New Roman"/>
                                    <w:color w:val="000000"/>
                                    <w:kern w:val="0"/>
                                    <w:sz w:val="12"/>
                                    <w:szCs w:val="12"/>
                                    <w:lang w:val="fr-FR" w:bidi="ar-SA"/>
                                  </w:rPr>
                                  <w:t xml:space="preserve"> </w:t>
                                </w:r>
                                <w:r>
                                  <w:rPr>
                                    <w:rFonts w:cs="Times New Roman"/>
                                    <w:color w:val="000000"/>
                                    <w:kern w:val="0"/>
                                    <w:sz w:val="12"/>
                                    <w:szCs w:val="12"/>
                                    <w:lang w:val="fr-FR" w:bidi="ar-SA"/>
                                  </w:rPr>
                                  <w:t>Siret : 508 866 886 00056</w:t>
                                </w:r>
                              </w:p>
                            </w:tc>
                            <w:tc>
                              <w:tcPr>
                                <w:tcW w:w="2558" w:type="dxa"/>
                                <w:tcBorders/>
                              </w:tcPr>
                              <w:p>
                                <w:pPr>
                                  <w:pStyle w:val="Footer"/>
                                  <w:widowControl w:val="false"/>
                                  <w:suppressAutoHyphens w:val="true"/>
                                  <w:spacing w:before="0" w:after="0"/>
                                  <w:rPr>
                                    <w:rFonts w:cs="Times New Roman"/>
                                    <w:b/>
                                    <w:color w:val="000000"/>
                                    <w:kern w:val="0"/>
                                    <w:sz w:val="12"/>
                                    <w:szCs w:val="12"/>
                                    <w:lang w:val="fr-FR" w:bidi="ar-SA"/>
                                  </w:rPr>
                                </w:pPr>
                                <w:r>
                                  <w:rPr>
                                    <w:rFonts w:cs="Times New Roman"/>
                                    <w:b/>
                                    <w:color w:val="000000"/>
                                    <w:kern w:val="0"/>
                                    <w:sz w:val="12"/>
                                    <w:szCs w:val="12"/>
                                    <w:lang w:val="fr-FR" w:bidi="ar-SA"/>
                                  </w:rPr>
                                  <w:t>Agence Rhône-Alpes</w:t>
                                </w:r>
                              </w:p>
                              <w:p>
                                <w:pPr>
                                  <w:pStyle w:val="Footer"/>
                                  <w:widowControl w:val="false"/>
                                  <w:suppressAutoHyphens w:val="true"/>
                                  <w:spacing w:before="0" w:after="0"/>
                                  <w:rPr>
                                    <w:rFonts w:cs="Times New Roman"/>
                                    <w:color w:val="000000"/>
                                    <w:kern w:val="0"/>
                                    <w:sz w:val="12"/>
                                    <w:szCs w:val="12"/>
                                    <w:lang w:val="fr-FR" w:bidi="ar-SA"/>
                                  </w:rPr>
                                </w:pPr>
                                <w:r>
                                  <w:rPr>
                                    <w:rFonts w:cs="Times New Roman"/>
                                    <w:color w:val="000000"/>
                                    <w:kern w:val="0"/>
                                    <w:sz w:val="12"/>
                                    <w:szCs w:val="12"/>
                                    <w:lang w:val="fr-FR" w:bidi="ar-SA"/>
                                  </w:rPr>
                                  <w:t>Immeuble le Corner</w:t>
                                </w:r>
                              </w:p>
                              <w:p>
                                <w:pPr>
                                  <w:pStyle w:val="Footer"/>
                                  <w:widowControl w:val="false"/>
                                  <w:suppressAutoHyphens w:val="true"/>
                                  <w:spacing w:before="0" w:after="0"/>
                                  <w:rPr>
                                    <w:rFonts w:cs="Times New Roman"/>
                                    <w:color w:val="000000"/>
                                    <w:kern w:val="0"/>
                                    <w:sz w:val="12"/>
                                    <w:szCs w:val="12"/>
                                    <w:lang w:val="fr-FR" w:bidi="ar-SA"/>
                                  </w:rPr>
                                </w:pPr>
                                <w:r>
                                  <w:rPr>
                                    <w:rFonts w:cs="Times New Roman"/>
                                    <w:color w:val="000000"/>
                                    <w:kern w:val="0"/>
                                    <w:sz w:val="12"/>
                                    <w:szCs w:val="12"/>
                                    <w:lang w:val="fr-FR" w:bidi="ar-SA"/>
                                  </w:rPr>
                                  <w:t>97-101 boulevard Vivier-Merle – CS 53324</w:t>
                                </w:r>
                              </w:p>
                              <w:p>
                                <w:pPr>
                                  <w:pStyle w:val="Footer"/>
                                  <w:widowControl w:val="false"/>
                                  <w:suppressAutoHyphens w:val="true"/>
                                  <w:spacing w:before="0" w:after="0"/>
                                  <w:rPr>
                                    <w:rFonts w:cs="Times New Roman"/>
                                    <w:color w:val="000000"/>
                                    <w:kern w:val="0"/>
                                    <w:sz w:val="12"/>
                                    <w:szCs w:val="12"/>
                                    <w:lang w:val="fr-FR" w:bidi="ar-SA"/>
                                  </w:rPr>
                                </w:pPr>
                                <w:r>
                                  <w:rPr>
                                    <w:rFonts w:cs="Times New Roman"/>
                                    <w:color w:val="000000"/>
                                    <w:kern w:val="0"/>
                                    <w:sz w:val="12"/>
                                    <w:szCs w:val="12"/>
                                    <w:lang w:val="fr-FR" w:bidi="ar-SA"/>
                                  </w:rPr>
                                  <w:t>69326 LYON Cedex 03</w:t>
                                </w:r>
                              </w:p>
                              <w:p>
                                <w:pPr>
                                  <w:pStyle w:val="Footer"/>
                                  <w:widowControl w:val="false"/>
                                  <w:suppressAutoHyphens w:val="true"/>
                                  <w:spacing w:before="0" w:after="0"/>
                                  <w:rPr>
                                    <w:rFonts w:cs="Times New Roman"/>
                                    <w:color w:val="000000"/>
                                    <w:kern w:val="0"/>
                                    <w:sz w:val="12"/>
                                    <w:szCs w:val="12"/>
                                    <w:lang w:val="fr-FR" w:bidi="ar-SA"/>
                                  </w:rPr>
                                </w:pPr>
                                <w:r>
                                  <w:rPr>
                                    <w:rFonts w:cs="Times New Roman"/>
                                    <w:color w:val="000000"/>
                                    <w:kern w:val="0"/>
                                    <w:sz w:val="12"/>
                                    <w:szCs w:val="12"/>
                                    <w:lang w:val="fr-FR" w:bidi="ar-SA"/>
                                  </w:rPr>
                                  <w:t>FRANCE</w:t>
                                </w:r>
                              </w:p>
                              <w:p>
                                <w:pPr>
                                  <w:pStyle w:val="Footer"/>
                                  <w:widowControl w:val="false"/>
                                  <w:suppressAutoHyphens w:val="true"/>
                                  <w:spacing w:before="0" w:after="0"/>
                                  <w:rPr>
                                    <w:rFonts w:cs="Times New Roman"/>
                                    <w:color w:val="000000"/>
                                    <w:kern w:val="0"/>
                                    <w:sz w:val="12"/>
                                    <w:szCs w:val="12"/>
                                    <w:lang w:val="fr-FR" w:bidi="ar-SA"/>
                                  </w:rPr>
                                </w:pPr>
                                <w:r>
                                  <w:rPr>
                                    <w:rFonts w:cs="Times New Roman"/>
                                    <w:color w:val="000000"/>
                                    <w:kern w:val="0"/>
                                    <w:sz w:val="12"/>
                                    <w:szCs w:val="12"/>
                                    <w:lang w:val="fr-FR" w:bidi="ar-SA"/>
                                  </w:rPr>
                                  <w:t>T : 04 27 85 49 80</w:t>
                                </w:r>
                              </w:p>
                              <w:p>
                                <w:pPr>
                                  <w:pStyle w:val="Footer"/>
                                  <w:widowControl w:val="false"/>
                                  <w:suppressAutoHyphens w:val="true"/>
                                  <w:spacing w:before="0" w:after="0"/>
                                  <w:rPr>
                                    <w:rFonts w:cs="Times New Roman"/>
                                    <w:color w:val="000000"/>
                                    <w:kern w:val="0"/>
                                    <w:sz w:val="12"/>
                                    <w:szCs w:val="12"/>
                                    <w:lang w:val="en-US" w:bidi="ar-SA"/>
                                  </w:rPr>
                                </w:pPr>
                                <w:r>
                                  <w:rPr>
                                    <w:rFonts w:cs="Times New Roman"/>
                                    <w:color w:val="000000"/>
                                    <w:kern w:val="0"/>
                                    <w:sz w:val="12"/>
                                    <w:szCs w:val="12"/>
                                    <w:lang w:val="en-US" w:bidi="ar-SA"/>
                                  </w:rPr>
                                  <w:t>F : 04 27 85 49 81</w:t>
                                </w:r>
                              </w:p>
                              <w:p>
                                <w:pPr>
                                  <w:pStyle w:val="Footer"/>
                                  <w:widowControl w:val="false"/>
                                  <w:suppressAutoHyphens w:val="true"/>
                                  <w:spacing w:before="0" w:after="0"/>
                                  <w:rPr/>
                                </w:pPr>
                                <w:hyperlink r:id="rId3">
                                  <w:r>
                                    <w:rPr>
                                      <w:rStyle w:val="Hyperlink"/>
                                      <w:rFonts w:cs="Times New Roman"/>
                                      <w:kern w:val="0"/>
                                      <w:sz w:val="12"/>
                                      <w:szCs w:val="12"/>
                                      <w:lang w:val="en-US" w:bidi="ar-SA"/>
                                    </w:rPr>
                                    <w:t>diades.lyon@setec.com</w:t>
                                  </w:r>
                                </w:hyperlink>
                              </w:p>
                              <w:p>
                                <w:pPr>
                                  <w:pStyle w:val="Footer"/>
                                  <w:widowControl w:val="false"/>
                                  <w:suppressAutoHyphens w:val="true"/>
                                  <w:spacing w:before="0" w:after="0"/>
                                  <w:rPr>
                                    <w:rFonts w:cs="Times New Roman"/>
                                    <w:color w:val="000000"/>
                                    <w:kern w:val="0"/>
                                    <w:sz w:val="12"/>
                                    <w:szCs w:val="12"/>
                                    <w:lang w:val="en-US" w:bidi="ar-SA"/>
                                  </w:rPr>
                                </w:pPr>
                                <w:r>
                                  <w:rPr>
                                    <w:rFonts w:cs="Times New Roman"/>
                                    <w:color w:val="000000"/>
                                    <w:kern w:val="0"/>
                                    <w:sz w:val="12"/>
                                    <w:szCs w:val="12"/>
                                    <w:lang w:val="en-US" w:bidi="ar-SA"/>
                                  </w:rPr>
                                  <w:t>Siret : 508 866 886 00098</w:t>
                                </w:r>
                              </w:p>
                            </w:tc>
                            <w:tc>
                              <w:tcPr>
                                <w:tcW w:w="2266" w:type="dxa"/>
                                <w:tcBorders/>
                              </w:tcPr>
                              <w:p>
                                <w:pPr>
                                  <w:pStyle w:val="Footer"/>
                                  <w:widowControl w:val="false"/>
                                  <w:suppressAutoHyphens w:val="true"/>
                                  <w:spacing w:before="0" w:after="0"/>
                                  <w:rPr>
                                    <w:rFonts w:cs="Times New Roman"/>
                                    <w:b/>
                                    <w:color w:val="000000"/>
                                    <w:kern w:val="0"/>
                                    <w:sz w:val="12"/>
                                    <w:szCs w:val="12"/>
                                    <w:lang w:val="fr-FR" w:bidi="ar-SA"/>
                                  </w:rPr>
                                </w:pPr>
                                <w:r>
                                  <w:rPr>
                                    <w:rFonts w:cs="Times New Roman"/>
                                    <w:b/>
                                    <w:color w:val="000000"/>
                                    <w:kern w:val="0"/>
                                    <w:sz w:val="12"/>
                                    <w:szCs w:val="12"/>
                                    <w:lang w:val="fr-FR" w:bidi="ar-SA"/>
                                  </w:rPr>
                                  <w:t>Agence Sud-Ouest</w:t>
                                </w:r>
                              </w:p>
                              <w:p>
                                <w:pPr>
                                  <w:pStyle w:val="Footer"/>
                                  <w:widowControl w:val="false"/>
                                  <w:suppressAutoHyphens w:val="true"/>
                                  <w:spacing w:before="0" w:after="0"/>
                                  <w:rPr>
                                    <w:rFonts w:cs="Times New Roman"/>
                                    <w:color w:val="000000"/>
                                    <w:kern w:val="0"/>
                                    <w:sz w:val="12"/>
                                    <w:szCs w:val="12"/>
                                    <w:lang w:val="fr-FR" w:bidi="ar-SA"/>
                                  </w:rPr>
                                </w:pPr>
                                <w:r>
                                  <w:rPr>
                                    <w:rFonts w:cs="Times New Roman"/>
                                    <w:color w:val="000000"/>
                                    <w:kern w:val="0"/>
                                    <w:sz w:val="12"/>
                                    <w:szCs w:val="12"/>
                                    <w:lang w:val="fr-FR" w:bidi="ar-SA"/>
                                  </w:rPr>
                                  <w:t>42-44 Rue du Général de Larminat</w:t>
                                </w:r>
                              </w:p>
                              <w:p>
                                <w:pPr>
                                  <w:pStyle w:val="Footer"/>
                                  <w:widowControl w:val="false"/>
                                  <w:suppressAutoHyphens w:val="true"/>
                                  <w:spacing w:before="0" w:after="0"/>
                                  <w:rPr>
                                    <w:rFonts w:cs="Times New Roman"/>
                                    <w:color w:val="000000"/>
                                    <w:kern w:val="0"/>
                                    <w:sz w:val="12"/>
                                    <w:szCs w:val="12"/>
                                    <w:lang w:val="fr-FR" w:bidi="ar-SA"/>
                                  </w:rPr>
                                </w:pPr>
                                <w:r>
                                  <w:rPr>
                                    <w:rFonts w:cs="Times New Roman"/>
                                    <w:color w:val="000000"/>
                                    <w:kern w:val="0"/>
                                    <w:sz w:val="12"/>
                                    <w:szCs w:val="12"/>
                                    <w:lang w:val="fr-FR" w:bidi="ar-SA"/>
                                  </w:rPr>
                                  <w:t>33000 Bordeaux</w:t>
                                </w:r>
                              </w:p>
                              <w:p>
                                <w:pPr>
                                  <w:pStyle w:val="Footer"/>
                                  <w:widowControl w:val="false"/>
                                  <w:suppressAutoHyphens w:val="true"/>
                                  <w:spacing w:before="0" w:after="0"/>
                                  <w:rPr>
                                    <w:rFonts w:cs="Times New Roman"/>
                                    <w:color w:val="000000"/>
                                    <w:kern w:val="0"/>
                                    <w:sz w:val="12"/>
                                    <w:szCs w:val="12"/>
                                    <w:lang w:val="fr-FR" w:bidi="ar-SA"/>
                                  </w:rPr>
                                </w:pPr>
                                <w:r>
                                  <w:rPr>
                                    <w:rFonts w:cs="Times New Roman"/>
                                    <w:color w:val="000000"/>
                                    <w:kern w:val="0"/>
                                    <w:sz w:val="12"/>
                                    <w:szCs w:val="12"/>
                                    <w:lang w:val="fr-FR" w:bidi="ar-SA"/>
                                  </w:rPr>
                                  <w:t>FRANCE</w:t>
                                </w:r>
                              </w:p>
                              <w:p>
                                <w:pPr>
                                  <w:pStyle w:val="Footer"/>
                                  <w:widowControl w:val="false"/>
                                  <w:suppressAutoHyphens w:val="true"/>
                                  <w:spacing w:before="0" w:after="0"/>
                                  <w:rPr>
                                    <w:color w:val="000000"/>
                                    <w:sz w:val="12"/>
                                    <w:szCs w:val="12"/>
                                  </w:rPr>
                                </w:pPr>
                                <w:r>
                                  <w:rPr>
                                    <w:color w:val="000000"/>
                                    <w:sz w:val="12"/>
                                    <w:szCs w:val="12"/>
                                  </w:rPr>
                                </w:r>
                              </w:p>
                              <w:p>
                                <w:pPr>
                                  <w:pStyle w:val="Footer"/>
                                  <w:widowControl w:val="false"/>
                                  <w:suppressAutoHyphens w:val="true"/>
                                  <w:spacing w:before="0" w:after="0"/>
                                  <w:rPr>
                                    <w:rFonts w:cs="Times New Roman"/>
                                    <w:color w:val="000000"/>
                                    <w:kern w:val="0"/>
                                    <w:sz w:val="12"/>
                                    <w:szCs w:val="12"/>
                                    <w:lang w:val="fr-FR" w:bidi="ar-SA"/>
                                  </w:rPr>
                                </w:pPr>
                                <w:r>
                                  <w:rPr>
                                    <w:rFonts w:cs="Times New Roman"/>
                                    <w:color w:val="000000"/>
                                    <w:kern w:val="0"/>
                                    <w:sz w:val="12"/>
                                    <w:szCs w:val="12"/>
                                    <w:lang w:val="fr-FR" w:bidi="ar-SA"/>
                                  </w:rPr>
                                  <w:t>T : 05 24 54 55 01</w:t>
                                </w:r>
                              </w:p>
                              <w:p>
                                <w:pPr>
                                  <w:pStyle w:val="Footer"/>
                                  <w:widowControl w:val="false"/>
                                  <w:suppressAutoHyphens w:val="true"/>
                                  <w:spacing w:before="0" w:after="0"/>
                                  <w:rPr>
                                    <w:rFonts w:cs="Times New Roman"/>
                                    <w:color w:val="000000"/>
                                    <w:kern w:val="0"/>
                                    <w:sz w:val="12"/>
                                    <w:szCs w:val="12"/>
                                    <w:lang w:val="fr-FR" w:bidi="ar-SA"/>
                                  </w:rPr>
                                </w:pPr>
                                <w:r>
                                  <w:rPr>
                                    <w:rFonts w:cs="Times New Roman"/>
                                    <w:color w:val="000000"/>
                                    <w:kern w:val="0"/>
                                    <w:sz w:val="12"/>
                                    <w:szCs w:val="12"/>
                                    <w:lang w:val="fr-FR" w:bidi="ar-SA"/>
                                  </w:rPr>
                                  <w:t>F : 05 24 54 55 46</w:t>
                                </w:r>
                              </w:p>
                              <w:p>
                                <w:pPr>
                                  <w:pStyle w:val="Footer"/>
                                  <w:widowControl w:val="false"/>
                                  <w:suppressAutoHyphens w:val="true"/>
                                  <w:spacing w:before="0" w:after="0"/>
                                  <w:rPr/>
                                </w:pPr>
                                <w:hyperlink r:id="rId4">
                                  <w:r>
                                    <w:rPr>
                                      <w:rStyle w:val="Hyperlink"/>
                                      <w:rFonts w:cs="Times New Roman"/>
                                      <w:color w:val="000000"/>
                                      <w:kern w:val="0"/>
                                      <w:sz w:val="12"/>
                                      <w:szCs w:val="12"/>
                                      <w:lang w:val="fr-FR" w:bidi="ar-SA"/>
                                    </w:rPr>
                                    <w:t>diades.bordeaux@setec.com</w:t>
                                  </w:r>
                                </w:hyperlink>
                              </w:p>
                              <w:p>
                                <w:pPr>
                                  <w:pStyle w:val="Footer"/>
                                  <w:widowControl w:val="false"/>
                                  <w:suppressAutoHyphens w:val="true"/>
                                  <w:spacing w:before="0" w:after="0"/>
                                  <w:rPr>
                                    <w:rFonts w:cs="Times New Roman"/>
                                    <w:color w:val="000000"/>
                                    <w:kern w:val="0"/>
                                    <w:sz w:val="12"/>
                                    <w:szCs w:val="12"/>
                                    <w:lang w:val="fr-FR" w:bidi="ar-SA"/>
                                  </w:rPr>
                                </w:pPr>
                                <w:r>
                                  <w:rPr>
                                    <w:rFonts w:cs="Times New Roman"/>
                                    <w:color w:val="000000"/>
                                    <w:kern w:val="0"/>
                                    <w:sz w:val="12"/>
                                    <w:szCs w:val="12"/>
                                    <w:lang w:val="fr-FR" w:bidi="ar-SA"/>
                                  </w:rPr>
                                  <w:t>Siret : 508 866 886 00072</w:t>
                                </w:r>
                              </w:p>
                            </w:tc>
                            <w:tc>
                              <w:tcPr>
                                <w:tcW w:w="1984" w:type="dxa"/>
                                <w:tcBorders/>
                              </w:tcPr>
                              <w:p>
                                <w:pPr>
                                  <w:pStyle w:val="Footer"/>
                                  <w:widowControl w:val="false"/>
                                  <w:suppressAutoHyphens w:val="true"/>
                                  <w:spacing w:before="0" w:after="0"/>
                                  <w:rPr>
                                    <w:rFonts w:cs="Times New Roman"/>
                                    <w:b/>
                                    <w:color w:val="000000"/>
                                    <w:kern w:val="0"/>
                                    <w:sz w:val="12"/>
                                    <w:szCs w:val="12"/>
                                    <w:lang w:val="fr-FR" w:bidi="ar-SA"/>
                                  </w:rPr>
                                </w:pPr>
                                <w:r>
                                  <w:rPr>
                                    <w:rFonts w:cs="Times New Roman"/>
                                    <w:b/>
                                    <w:color w:val="000000"/>
                                    <w:kern w:val="0"/>
                                    <w:sz w:val="12"/>
                                    <w:szCs w:val="12"/>
                                    <w:lang w:val="fr-FR" w:bidi="ar-SA"/>
                                  </w:rPr>
                                  <w:t>Agence Nord-Est</w:t>
                                </w:r>
                              </w:p>
                              <w:p>
                                <w:pPr>
                                  <w:pStyle w:val="Footer"/>
                                  <w:widowControl w:val="false"/>
                                  <w:suppressAutoHyphens w:val="true"/>
                                  <w:spacing w:before="0" w:after="0"/>
                                  <w:rPr>
                                    <w:rFonts w:cs="Times New Roman"/>
                                    <w:color w:val="000000"/>
                                    <w:kern w:val="0"/>
                                    <w:sz w:val="12"/>
                                    <w:szCs w:val="12"/>
                                    <w:lang w:val="fr-FR" w:bidi="ar-SA"/>
                                  </w:rPr>
                                </w:pPr>
                                <w:r>
                                  <w:rPr>
                                    <w:rFonts w:cs="Times New Roman"/>
                                    <w:color w:val="000000"/>
                                    <w:kern w:val="0"/>
                                    <w:sz w:val="12"/>
                                    <w:szCs w:val="12"/>
                                    <w:lang w:val="fr-FR" w:bidi="ar-SA"/>
                                  </w:rPr>
                                  <w:t>13 quai Kléber</w:t>
                                </w:r>
                              </w:p>
                              <w:p>
                                <w:pPr>
                                  <w:pStyle w:val="Footer"/>
                                  <w:widowControl w:val="false"/>
                                  <w:suppressAutoHyphens w:val="true"/>
                                  <w:spacing w:before="0" w:after="0"/>
                                  <w:rPr>
                                    <w:rFonts w:cs="Times New Roman"/>
                                    <w:color w:val="000000"/>
                                    <w:kern w:val="0"/>
                                    <w:sz w:val="12"/>
                                    <w:szCs w:val="12"/>
                                    <w:lang w:val="fr-FR" w:bidi="ar-SA"/>
                                  </w:rPr>
                                </w:pPr>
                                <w:r>
                                  <w:rPr>
                                    <w:rFonts w:cs="Times New Roman"/>
                                    <w:color w:val="000000"/>
                                    <w:kern w:val="0"/>
                                    <w:sz w:val="12"/>
                                    <w:szCs w:val="12"/>
                                    <w:lang w:val="fr-FR" w:bidi="ar-SA"/>
                                  </w:rPr>
                                  <w:t>67000 Strasbourg</w:t>
                                </w:r>
                              </w:p>
                              <w:p>
                                <w:pPr>
                                  <w:pStyle w:val="Footer"/>
                                  <w:widowControl w:val="false"/>
                                  <w:suppressAutoHyphens w:val="true"/>
                                  <w:spacing w:before="0" w:after="0"/>
                                  <w:rPr>
                                    <w:rFonts w:cs="Times New Roman"/>
                                    <w:color w:val="000000"/>
                                    <w:kern w:val="0"/>
                                    <w:sz w:val="12"/>
                                    <w:szCs w:val="12"/>
                                    <w:lang w:val="fr-FR" w:bidi="ar-SA"/>
                                  </w:rPr>
                                </w:pPr>
                                <w:r>
                                  <w:rPr>
                                    <w:rFonts w:cs="Times New Roman"/>
                                    <w:color w:val="000000"/>
                                    <w:kern w:val="0"/>
                                    <w:sz w:val="12"/>
                                    <w:szCs w:val="12"/>
                                    <w:lang w:val="fr-FR" w:bidi="ar-SA"/>
                                  </w:rPr>
                                  <w:t>FRANCE</w:t>
                                </w:r>
                              </w:p>
                              <w:p>
                                <w:pPr>
                                  <w:pStyle w:val="Footer"/>
                                  <w:widowControl w:val="false"/>
                                  <w:suppressAutoHyphens w:val="true"/>
                                  <w:spacing w:before="0" w:after="0"/>
                                  <w:rPr>
                                    <w:color w:val="000000"/>
                                    <w:sz w:val="12"/>
                                    <w:szCs w:val="12"/>
                                  </w:rPr>
                                </w:pPr>
                                <w:r>
                                  <w:rPr>
                                    <w:color w:val="000000"/>
                                    <w:sz w:val="12"/>
                                    <w:szCs w:val="12"/>
                                  </w:rPr>
                                </w:r>
                              </w:p>
                              <w:p>
                                <w:pPr>
                                  <w:pStyle w:val="Footer"/>
                                  <w:widowControl w:val="false"/>
                                  <w:suppressAutoHyphens w:val="true"/>
                                  <w:spacing w:before="0" w:after="0"/>
                                  <w:rPr>
                                    <w:rFonts w:cs="Times New Roman"/>
                                    <w:color w:val="000000"/>
                                    <w:kern w:val="0"/>
                                    <w:sz w:val="12"/>
                                    <w:szCs w:val="12"/>
                                    <w:lang w:val="fr-FR" w:bidi="ar-SA"/>
                                  </w:rPr>
                                </w:pPr>
                                <w:r>
                                  <w:rPr>
                                    <w:rFonts w:cs="Times New Roman"/>
                                    <w:color w:val="000000"/>
                                    <w:kern w:val="0"/>
                                    <w:sz w:val="12"/>
                                    <w:szCs w:val="12"/>
                                    <w:lang w:val="fr-FR" w:bidi="ar-SA"/>
                                  </w:rPr>
                                  <w:t>T : 03 88 75 54 36</w:t>
                                </w:r>
                              </w:p>
                              <w:p>
                                <w:pPr>
                                  <w:pStyle w:val="Footer"/>
                                  <w:widowControl w:val="false"/>
                                  <w:suppressAutoHyphens w:val="true"/>
                                  <w:spacing w:before="0" w:after="0"/>
                                  <w:rPr>
                                    <w:rFonts w:cs="Times New Roman"/>
                                    <w:color w:val="000000"/>
                                    <w:kern w:val="0"/>
                                    <w:sz w:val="12"/>
                                    <w:szCs w:val="12"/>
                                    <w:lang w:val="fr-FR" w:bidi="ar-SA"/>
                                  </w:rPr>
                                </w:pPr>
                                <w:r>
                                  <w:rPr>
                                    <w:rFonts w:cs="Times New Roman"/>
                                    <w:color w:val="000000"/>
                                    <w:kern w:val="0"/>
                                    <w:sz w:val="12"/>
                                    <w:szCs w:val="12"/>
                                    <w:lang w:val="fr-FR" w:bidi="ar-SA"/>
                                  </w:rPr>
                                  <w:t>F : 03 67 22 04 99</w:t>
                                </w:r>
                              </w:p>
                              <w:p>
                                <w:pPr>
                                  <w:pStyle w:val="Footer"/>
                                  <w:widowControl w:val="false"/>
                                  <w:suppressAutoHyphens w:val="true"/>
                                  <w:spacing w:before="0" w:after="0"/>
                                  <w:rPr/>
                                </w:pPr>
                                <w:hyperlink r:id="rId5">
                                  <w:r>
                                    <w:rPr>
                                      <w:rStyle w:val="Hyperlink"/>
                                      <w:rFonts w:cs="Times New Roman"/>
                                      <w:color w:val="000000"/>
                                      <w:kern w:val="0"/>
                                      <w:sz w:val="12"/>
                                      <w:szCs w:val="12"/>
                                      <w:lang w:val="fr-FR" w:bidi="ar-SA"/>
                                    </w:rPr>
                                    <w:t>diades.strasbourg@setec.com</w:t>
                                  </w:r>
                                </w:hyperlink>
                              </w:p>
                              <w:p>
                                <w:pPr>
                                  <w:pStyle w:val="Footer"/>
                                  <w:widowControl w:val="false"/>
                                  <w:suppressAutoHyphens w:val="true"/>
                                  <w:spacing w:before="0" w:after="0"/>
                                  <w:rPr>
                                    <w:rFonts w:cs="Times New Roman"/>
                                    <w:color w:val="000000"/>
                                    <w:kern w:val="0"/>
                                    <w:sz w:val="12"/>
                                    <w:szCs w:val="12"/>
                                    <w:lang w:val="fr-FR" w:bidi="ar-SA"/>
                                  </w:rPr>
                                </w:pPr>
                                <w:r>
                                  <w:rPr>
                                    <w:rFonts w:cs="Times New Roman"/>
                                    <w:color w:val="000000"/>
                                    <w:kern w:val="0"/>
                                    <w:sz w:val="12"/>
                                    <w:szCs w:val="12"/>
                                    <w:lang w:val="fr-FR" w:bidi="ar-SA"/>
                                  </w:rPr>
                                  <w:t>Siret : 508 866 886 00080</w:t>
                                </w:r>
                              </w:p>
                            </w:tc>
                            <w:tc>
                              <w:tcPr>
                                <w:tcW w:w="2128" w:type="dxa"/>
                                <w:tcBorders/>
                              </w:tcPr>
                              <w:p>
                                <w:pPr>
                                  <w:pStyle w:val="Footer"/>
                                  <w:widowControl w:val="false"/>
                                  <w:suppressAutoHyphens w:val="true"/>
                                  <w:spacing w:before="0" w:after="0"/>
                                  <w:jc w:val="center"/>
                                  <w:rPr>
                                    <w:color w:val="000000"/>
                                    <w:sz w:val="12"/>
                                    <w:szCs w:val="12"/>
                                  </w:rPr>
                                </w:pPr>
                                <w:r>
                                  <w:rPr>
                                    <w:color w:val="000000"/>
                                    <w:sz w:val="12"/>
                                    <w:szCs w:val="12"/>
                                  </w:rPr>
                                </w:r>
                              </w:p>
                            </w:tc>
                          </w:tr>
                        </w:tbl>
                        <w:p>
                          <w:pPr>
                            <w:pStyle w:val="Footer"/>
                            <w:jc w:val="center"/>
                            <w:rPr>
                              <w:color w:val="000000"/>
                              <w:sz w:val="12"/>
                              <w:szCs w:val="12"/>
                            </w:rPr>
                          </w:pPr>
                          <w:r>
                            <w:rPr>
                              <w:color w:val="000000"/>
                              <w:sz w:val="12"/>
                              <w:szCs w:val="12"/>
                            </w:rPr>
                            <w:t xml:space="preserve"> </w:t>
                          </w:r>
                        </w:p>
                        <w:p>
                          <w:pPr>
                            <w:pStyle w:val="Footer"/>
                            <w:jc w:val="left"/>
                            <w:rPr>
                              <w:color w:val="000000"/>
                              <w:sz w:val="10"/>
                              <w:szCs w:val="10"/>
                            </w:rPr>
                          </w:pPr>
                          <w:r>
                            <w:rPr>
                              <w:color w:val="000000"/>
                              <w:sz w:val="10"/>
                              <w:szCs w:val="10"/>
                            </w:rPr>
                            <w:t>Siège social : Immeuble Central Seine – 42-52 quai de la Rapée – CS 71230 – 75583 Paris Cedex 12 – SAS au capital de 40 000 € - RCS PARIS 508 866 886 – TVA FR23508866886</w:t>
                          </w:r>
                        </w:p>
                        <w:p>
                          <w:pPr>
                            <w:pStyle w:val="Footer"/>
                            <w:jc w:val="center"/>
                            <w:rPr/>
                          </w:pPr>
                          <w:hyperlink r:id="rId6">
                            <w:r>
                              <w:rPr>
                                <w:rStyle w:val="Hyperlink"/>
                                <w:color w:val="000000"/>
                                <w:sz w:val="12"/>
                                <w:szCs w:val="12"/>
                              </w:rPr>
                              <w:t>diades@setec.com</w:t>
                            </w:r>
                          </w:hyperlink>
                          <w:r>
                            <w:rPr>
                              <w:color w:val="000000"/>
                              <w:sz w:val="12"/>
                              <w:szCs w:val="12"/>
                            </w:rPr>
                            <w:t xml:space="preserve"> – </w:t>
                          </w:r>
                          <w:hyperlink r:id="rId7">
                            <w:r>
                              <w:rPr>
                                <w:rStyle w:val="Hyperlink"/>
                                <w:color w:val="000000"/>
                                <w:sz w:val="12"/>
                                <w:szCs w:val="12"/>
                              </w:rPr>
                              <w:t>www.diades.fr</w:t>
                            </w:r>
                          </w:hyperlink>
                        </w:p>
                        <w:p>
                          <w:pPr>
                            <w:pStyle w:val="Contenudecadre"/>
                            <w:spacing w:before="0" w:after="0"/>
                            <w:rPr>
                              <w:rFonts w:eastAsia="SimSun"/>
                              <w:sz w:val="8"/>
                              <w:szCs w:val="8"/>
                              <w:lang w:eastAsia="zh-CN"/>
                            </w:rPr>
                          </w:pPr>
                          <w:r>
                            <w:rPr>
                              <w:rFonts w:eastAsia="SimSun"/>
                              <w:sz w:val="8"/>
                              <w:szCs w:val="8"/>
                              <w:lang w:eastAsia="zh-CN"/>
                            </w:rPr>
                          </w:r>
                        </w:p>
                        <w:p>
                          <w:pPr>
                            <w:pStyle w:val="Contenudecadre"/>
                            <w:spacing w:before="0" w:after="0"/>
                            <w:rPr>
                              <w:rFonts w:eastAsia="SimSun"/>
                              <w:sz w:val="8"/>
                              <w:szCs w:val="8"/>
                              <w:lang w:eastAsia="zh-CN"/>
                            </w:rPr>
                          </w:pPr>
                          <w:r>
                            <w:rPr>
                              <w:rFonts w:eastAsia="SimSun"/>
                              <w:sz w:val="8"/>
                              <w:szCs w:val="8"/>
                              <w:lang w:eastAsia="zh-CN"/>
                            </w:rPr>
                            <w:t>Ce document est la propriété de DIADES. Aucune reproduction, même partielle, ne pourra être faite sans autorisation écrite de l’auteur conformément à la loi du 11 Mars 1957 n°57298 et le code de propriété intellectuelle Livre 1, Articles L111.1 et suivants, et Articles L 511.1 et suivants.</w:t>
                          </w:r>
                        </w:p>
                        <w:p>
                          <w:pPr>
                            <w:pStyle w:val="Footer"/>
                            <w:jc w:val="center"/>
                            <w:rPr>
                              <w:color w:val="1F497D"/>
                              <w:sz w:val="12"/>
                              <w:szCs w:val="12"/>
                            </w:rPr>
                          </w:pPr>
                          <w:r>
                            <w:rPr>
                              <w:color w:val="1F497D"/>
                              <w:sz w:val="12"/>
                              <w:szCs w:val="12"/>
                            </w:rPr>
                          </w:r>
                        </w:p>
                        <w:p>
                          <w:pPr>
                            <w:pStyle w:val="Contenudecadre"/>
                            <w:spacing w:before="0" w:after="120"/>
                            <w:rPr/>
                          </w:pPr>
                          <w:r>
                            <w:rPr/>
                          </w:r>
                        </w:p>
                      </w:txbxContent>
                    </wps:txbx>
                    <wps:bodyPr anchor="t">
                      <a:noAutofit/>
                    </wps:bodyPr>
                  </wps:wsp>
                </a:graphicData>
              </a:graphic>
            </wp:anchor>
          </w:drawing>
        </mc:Choice>
        <mc:Fallback>
          <w:pict>
            <v:rect id="shape_0" stroked="f" o:allowincell="f" style="position:absolute;margin-left:14.5pt;margin-top:-49.4pt;width:511.45pt;height:100.95pt;mso-wrap-style:square;v-text-anchor:top;mso-position-horizontal-relative:margin">
              <v:fill o:detectmouseclick="t" on="false"/>
              <v:stroke color="#3465a4" weight="9360" joinstyle="round" endcap="flat"/>
              <v:textbox>
                <w:txbxContent>
                  <w:tbl>
                    <w:tblPr>
                      <w:tblW w:w="11203" w:type="dxa"/>
                      <w:jc w:val="left"/>
                      <w:tblInd w:w="-289" w:type="dxa"/>
                      <w:tblLayout w:type="fixed"/>
                      <w:tblCellMar>
                        <w:top w:w="0" w:type="dxa"/>
                        <w:left w:w="108" w:type="dxa"/>
                        <w:bottom w:w="0" w:type="dxa"/>
                        <w:right w:w="108" w:type="dxa"/>
                      </w:tblCellMar>
                    </w:tblPr>
                    <w:tblGrid>
                      <w:gridCol w:w="2267"/>
                      <w:gridCol w:w="2558"/>
                      <w:gridCol w:w="2266"/>
                      <w:gridCol w:w="1984"/>
                      <w:gridCol w:w="2128"/>
                    </w:tblGrid>
                    <w:tr>
                      <w:trPr>
                        <w:trHeight w:val="1096" w:hRule="atLeast"/>
                      </w:trPr>
                      <w:tc>
                        <w:tcPr>
                          <w:tcW w:w="2267" w:type="dxa"/>
                          <w:tcBorders/>
                        </w:tcPr>
                        <w:p>
                          <w:pPr>
                            <w:pStyle w:val="Footer"/>
                            <w:widowControl w:val="false"/>
                            <w:suppressAutoHyphens w:val="true"/>
                            <w:spacing w:before="0" w:after="0"/>
                            <w:rPr>
                              <w:rFonts w:cs="Times New Roman"/>
                              <w:b/>
                              <w:color w:val="000000"/>
                              <w:kern w:val="0"/>
                              <w:sz w:val="12"/>
                              <w:szCs w:val="12"/>
                              <w:lang w:val="fr-FR" w:bidi="ar-SA"/>
                            </w:rPr>
                          </w:pPr>
                          <w:r>
                            <w:rPr>
                              <w:rFonts w:cs="Times New Roman"/>
                              <w:b/>
                              <w:color w:val="000000"/>
                              <w:kern w:val="0"/>
                              <w:sz w:val="12"/>
                              <w:szCs w:val="12"/>
                              <w:lang w:val="fr-FR" w:bidi="ar-SA"/>
                            </w:rPr>
                            <w:t xml:space="preserve">  </w:t>
                          </w:r>
                          <w:r>
                            <w:rPr>
                              <w:rFonts w:cs="Times New Roman"/>
                              <w:b/>
                              <w:color w:val="000000"/>
                              <w:kern w:val="0"/>
                              <w:sz w:val="12"/>
                              <w:szCs w:val="12"/>
                              <w:lang w:val="fr-FR" w:bidi="ar-SA"/>
                            </w:rPr>
                            <w:t>Direction et Agence Sud-Est</w:t>
                          </w:r>
                        </w:p>
                        <w:p>
                          <w:pPr>
                            <w:pStyle w:val="Footer"/>
                            <w:widowControl w:val="false"/>
                            <w:suppressAutoHyphens w:val="true"/>
                            <w:spacing w:before="0" w:after="0"/>
                            <w:rPr>
                              <w:rFonts w:cs="Times New Roman"/>
                              <w:color w:val="000000"/>
                              <w:kern w:val="0"/>
                              <w:sz w:val="12"/>
                              <w:szCs w:val="12"/>
                              <w:lang w:val="fr-FR" w:bidi="ar-SA"/>
                            </w:rPr>
                          </w:pPr>
                          <w:r>
                            <w:rPr>
                              <w:rFonts w:cs="Times New Roman"/>
                              <w:color w:val="000000"/>
                              <w:kern w:val="0"/>
                              <w:sz w:val="12"/>
                              <w:szCs w:val="12"/>
                              <w:lang w:val="fr-FR" w:bidi="ar-SA"/>
                            </w:rPr>
                            <w:t xml:space="preserve">  </w:t>
                          </w:r>
                          <w:r>
                            <w:rPr>
                              <w:rFonts w:cs="Times New Roman"/>
                              <w:color w:val="000000"/>
                              <w:kern w:val="0"/>
                              <w:sz w:val="12"/>
                              <w:szCs w:val="12"/>
                              <w:lang w:val="fr-FR" w:bidi="ar-SA"/>
                            </w:rPr>
                            <w:t>ZAC Le Griffon</w:t>
                          </w:r>
                        </w:p>
                        <w:p>
                          <w:pPr>
                            <w:pStyle w:val="Footer"/>
                            <w:widowControl w:val="false"/>
                            <w:suppressAutoHyphens w:val="true"/>
                            <w:spacing w:before="0" w:after="0"/>
                            <w:rPr>
                              <w:rFonts w:cs="Times New Roman"/>
                              <w:color w:val="000000"/>
                              <w:kern w:val="0"/>
                              <w:sz w:val="12"/>
                              <w:szCs w:val="12"/>
                              <w:lang w:val="fr-FR" w:bidi="ar-SA"/>
                            </w:rPr>
                          </w:pPr>
                          <w:r>
                            <w:rPr>
                              <w:rFonts w:cs="Times New Roman"/>
                              <w:color w:val="000000"/>
                              <w:kern w:val="0"/>
                              <w:sz w:val="12"/>
                              <w:szCs w:val="12"/>
                              <w:lang w:val="fr-FR" w:bidi="ar-SA"/>
                            </w:rPr>
                            <w:t xml:space="preserve">  </w:t>
                          </w:r>
                          <w:r>
                            <w:rPr>
                              <w:rFonts w:cs="Times New Roman"/>
                              <w:color w:val="000000"/>
                              <w:kern w:val="0"/>
                              <w:sz w:val="12"/>
                              <w:szCs w:val="12"/>
                              <w:lang w:val="fr-FR" w:bidi="ar-SA"/>
                            </w:rPr>
                            <w:t>7 Chemin des gorges de Cabriès</w:t>
                          </w:r>
                        </w:p>
                        <w:p>
                          <w:pPr>
                            <w:pStyle w:val="Footer"/>
                            <w:widowControl w:val="false"/>
                            <w:suppressAutoHyphens w:val="true"/>
                            <w:spacing w:before="0" w:after="0"/>
                            <w:rPr>
                              <w:rFonts w:cs="Times New Roman"/>
                              <w:color w:val="000000"/>
                              <w:kern w:val="0"/>
                              <w:sz w:val="12"/>
                              <w:szCs w:val="12"/>
                              <w:lang w:val="fr-FR" w:bidi="ar-SA"/>
                            </w:rPr>
                          </w:pPr>
                          <w:r>
                            <w:rPr>
                              <w:rFonts w:cs="Times New Roman"/>
                              <w:color w:val="000000"/>
                              <w:kern w:val="0"/>
                              <w:sz w:val="12"/>
                              <w:szCs w:val="12"/>
                              <w:lang w:val="fr-FR" w:bidi="ar-SA"/>
                            </w:rPr>
                            <w:t xml:space="preserve">  </w:t>
                          </w:r>
                          <w:r>
                            <w:rPr>
                              <w:rFonts w:cs="Times New Roman"/>
                              <w:color w:val="000000"/>
                              <w:kern w:val="0"/>
                              <w:sz w:val="12"/>
                              <w:szCs w:val="12"/>
                              <w:lang w:val="fr-FR" w:bidi="ar-SA"/>
                            </w:rPr>
                            <w:t>13127 VITROLLES</w:t>
                          </w:r>
                        </w:p>
                        <w:p>
                          <w:pPr>
                            <w:pStyle w:val="Footer"/>
                            <w:widowControl w:val="false"/>
                            <w:suppressAutoHyphens w:val="true"/>
                            <w:spacing w:before="0" w:after="0"/>
                            <w:ind w:hanging="180" w:left="180" w:right="0"/>
                            <w:rPr>
                              <w:rFonts w:cs="Times New Roman"/>
                              <w:color w:val="000000"/>
                              <w:kern w:val="0"/>
                              <w:sz w:val="12"/>
                              <w:szCs w:val="12"/>
                              <w:lang w:val="fr-FR" w:bidi="ar-SA"/>
                            </w:rPr>
                          </w:pPr>
                          <w:r>
                            <w:rPr>
                              <w:rFonts w:cs="Times New Roman"/>
                              <w:color w:val="000000"/>
                              <w:kern w:val="0"/>
                              <w:sz w:val="12"/>
                              <w:szCs w:val="12"/>
                              <w:lang w:val="fr-FR" w:bidi="ar-SA"/>
                            </w:rPr>
                            <w:t xml:space="preserve">  </w:t>
                          </w:r>
                          <w:r>
                            <w:rPr>
                              <w:rFonts w:cs="Times New Roman"/>
                              <w:color w:val="000000"/>
                              <w:kern w:val="0"/>
                              <w:sz w:val="12"/>
                              <w:szCs w:val="12"/>
                              <w:lang w:val="fr-FR" w:bidi="ar-SA"/>
                            </w:rPr>
                            <w:t>FRANCE</w:t>
                          </w:r>
                        </w:p>
                        <w:p>
                          <w:pPr>
                            <w:pStyle w:val="Footer"/>
                            <w:widowControl w:val="false"/>
                            <w:suppressAutoHyphens w:val="true"/>
                            <w:spacing w:before="0" w:after="0"/>
                            <w:rPr>
                              <w:rFonts w:cs="Times New Roman"/>
                              <w:color w:val="000000"/>
                              <w:kern w:val="0"/>
                              <w:sz w:val="12"/>
                              <w:szCs w:val="12"/>
                              <w:lang w:val="fr-FR" w:bidi="ar-SA"/>
                            </w:rPr>
                          </w:pPr>
                          <w:r>
                            <w:rPr>
                              <w:rFonts w:cs="Times New Roman"/>
                              <w:color w:val="000000"/>
                              <w:kern w:val="0"/>
                              <w:sz w:val="12"/>
                              <w:szCs w:val="12"/>
                              <w:lang w:val="fr-FR" w:bidi="ar-SA"/>
                            </w:rPr>
                            <w:t xml:space="preserve">  </w:t>
                          </w:r>
                          <w:r>
                            <w:rPr>
                              <w:rFonts w:cs="Times New Roman"/>
                              <w:color w:val="000000"/>
                              <w:kern w:val="0"/>
                              <w:sz w:val="12"/>
                              <w:szCs w:val="12"/>
                              <w:lang w:val="fr-FR" w:bidi="ar-SA"/>
                            </w:rPr>
                            <w:t>T : 04 42 12 41 30</w:t>
                          </w:r>
                        </w:p>
                        <w:p>
                          <w:pPr>
                            <w:pStyle w:val="Footer"/>
                            <w:widowControl w:val="false"/>
                            <w:suppressAutoHyphens w:val="true"/>
                            <w:spacing w:before="0" w:after="0"/>
                            <w:rPr>
                              <w:rFonts w:cs="Times New Roman"/>
                              <w:color w:val="000000"/>
                              <w:kern w:val="0"/>
                              <w:sz w:val="12"/>
                              <w:szCs w:val="12"/>
                              <w:lang w:val="fr-FR" w:bidi="ar-SA"/>
                            </w:rPr>
                          </w:pPr>
                          <w:r>
                            <w:rPr>
                              <w:rFonts w:cs="Times New Roman"/>
                              <w:color w:val="000000"/>
                              <w:kern w:val="0"/>
                              <w:sz w:val="12"/>
                              <w:szCs w:val="12"/>
                              <w:lang w:val="fr-FR" w:bidi="ar-SA"/>
                            </w:rPr>
                            <w:t xml:space="preserve">  </w:t>
                          </w:r>
                          <w:r>
                            <w:rPr>
                              <w:rFonts w:cs="Times New Roman"/>
                              <w:color w:val="000000"/>
                              <w:kern w:val="0"/>
                              <w:sz w:val="12"/>
                              <w:szCs w:val="12"/>
                              <w:lang w:val="fr-FR" w:bidi="ar-SA"/>
                            </w:rPr>
                            <w:t>F : 04 42 12 41 39</w:t>
                          </w:r>
                        </w:p>
                        <w:p>
                          <w:pPr>
                            <w:pStyle w:val="Footer"/>
                            <w:widowControl w:val="false"/>
                            <w:suppressAutoHyphens w:val="true"/>
                            <w:spacing w:before="0" w:after="0"/>
                            <w:rPr/>
                          </w:pPr>
                          <w:r>
                            <w:rPr>
                              <w:rFonts w:cs="Times New Roman"/>
                              <w:color w:val="000000"/>
                              <w:kern w:val="0"/>
                              <w:sz w:val="12"/>
                              <w:szCs w:val="12"/>
                              <w:lang w:val="fr-FR" w:bidi="ar-SA"/>
                            </w:rPr>
                            <w:t xml:space="preserve"> </w:t>
                          </w:r>
                          <w:hyperlink r:id="rId8">
                            <w:r>
                              <w:rPr>
                                <w:rStyle w:val="Hyperlink"/>
                                <w:rFonts w:cs="Times New Roman"/>
                                <w:color w:val="000000"/>
                                <w:kern w:val="0"/>
                                <w:sz w:val="12"/>
                                <w:szCs w:val="12"/>
                                <w:lang w:val="fr-FR" w:bidi="ar-SA"/>
                              </w:rPr>
                              <w:t>diades.aix@setec.com</w:t>
                            </w:r>
                          </w:hyperlink>
                        </w:p>
                        <w:p>
                          <w:pPr>
                            <w:pStyle w:val="Footer"/>
                            <w:widowControl w:val="false"/>
                            <w:suppressAutoHyphens w:val="true"/>
                            <w:spacing w:before="0" w:after="0"/>
                            <w:rPr>
                              <w:rFonts w:cs="Times New Roman"/>
                              <w:color w:val="000000"/>
                              <w:kern w:val="0"/>
                              <w:sz w:val="12"/>
                              <w:szCs w:val="12"/>
                              <w:lang w:val="fr-FR" w:bidi="ar-SA"/>
                            </w:rPr>
                          </w:pPr>
                          <w:r>
                            <w:rPr>
                              <w:rFonts w:cs="Times New Roman"/>
                              <w:color w:val="000000"/>
                              <w:kern w:val="0"/>
                              <w:sz w:val="12"/>
                              <w:szCs w:val="12"/>
                              <w:lang w:val="fr-FR" w:bidi="ar-SA"/>
                            </w:rPr>
                            <w:t xml:space="preserve"> </w:t>
                          </w:r>
                          <w:r>
                            <w:rPr>
                              <w:rFonts w:cs="Times New Roman"/>
                              <w:color w:val="000000"/>
                              <w:kern w:val="0"/>
                              <w:sz w:val="12"/>
                              <w:szCs w:val="12"/>
                              <w:lang w:val="fr-FR" w:bidi="ar-SA"/>
                            </w:rPr>
                            <w:t>Siret : 508 866 886 00056</w:t>
                          </w:r>
                        </w:p>
                      </w:tc>
                      <w:tc>
                        <w:tcPr>
                          <w:tcW w:w="2558" w:type="dxa"/>
                          <w:tcBorders/>
                        </w:tcPr>
                        <w:p>
                          <w:pPr>
                            <w:pStyle w:val="Footer"/>
                            <w:widowControl w:val="false"/>
                            <w:suppressAutoHyphens w:val="true"/>
                            <w:spacing w:before="0" w:after="0"/>
                            <w:rPr>
                              <w:rFonts w:cs="Times New Roman"/>
                              <w:b/>
                              <w:color w:val="000000"/>
                              <w:kern w:val="0"/>
                              <w:sz w:val="12"/>
                              <w:szCs w:val="12"/>
                              <w:lang w:val="fr-FR" w:bidi="ar-SA"/>
                            </w:rPr>
                          </w:pPr>
                          <w:r>
                            <w:rPr>
                              <w:rFonts w:cs="Times New Roman"/>
                              <w:b/>
                              <w:color w:val="000000"/>
                              <w:kern w:val="0"/>
                              <w:sz w:val="12"/>
                              <w:szCs w:val="12"/>
                              <w:lang w:val="fr-FR" w:bidi="ar-SA"/>
                            </w:rPr>
                            <w:t>Agence Rhône-Alpes</w:t>
                          </w:r>
                        </w:p>
                        <w:p>
                          <w:pPr>
                            <w:pStyle w:val="Footer"/>
                            <w:widowControl w:val="false"/>
                            <w:suppressAutoHyphens w:val="true"/>
                            <w:spacing w:before="0" w:after="0"/>
                            <w:rPr>
                              <w:rFonts w:cs="Times New Roman"/>
                              <w:color w:val="000000"/>
                              <w:kern w:val="0"/>
                              <w:sz w:val="12"/>
                              <w:szCs w:val="12"/>
                              <w:lang w:val="fr-FR" w:bidi="ar-SA"/>
                            </w:rPr>
                          </w:pPr>
                          <w:r>
                            <w:rPr>
                              <w:rFonts w:cs="Times New Roman"/>
                              <w:color w:val="000000"/>
                              <w:kern w:val="0"/>
                              <w:sz w:val="12"/>
                              <w:szCs w:val="12"/>
                              <w:lang w:val="fr-FR" w:bidi="ar-SA"/>
                            </w:rPr>
                            <w:t>Immeuble le Corner</w:t>
                          </w:r>
                        </w:p>
                        <w:p>
                          <w:pPr>
                            <w:pStyle w:val="Footer"/>
                            <w:widowControl w:val="false"/>
                            <w:suppressAutoHyphens w:val="true"/>
                            <w:spacing w:before="0" w:after="0"/>
                            <w:rPr>
                              <w:rFonts w:cs="Times New Roman"/>
                              <w:color w:val="000000"/>
                              <w:kern w:val="0"/>
                              <w:sz w:val="12"/>
                              <w:szCs w:val="12"/>
                              <w:lang w:val="fr-FR" w:bidi="ar-SA"/>
                            </w:rPr>
                          </w:pPr>
                          <w:r>
                            <w:rPr>
                              <w:rFonts w:cs="Times New Roman"/>
                              <w:color w:val="000000"/>
                              <w:kern w:val="0"/>
                              <w:sz w:val="12"/>
                              <w:szCs w:val="12"/>
                              <w:lang w:val="fr-FR" w:bidi="ar-SA"/>
                            </w:rPr>
                            <w:t>97-101 boulevard Vivier-Merle – CS 53324</w:t>
                          </w:r>
                        </w:p>
                        <w:p>
                          <w:pPr>
                            <w:pStyle w:val="Footer"/>
                            <w:widowControl w:val="false"/>
                            <w:suppressAutoHyphens w:val="true"/>
                            <w:spacing w:before="0" w:after="0"/>
                            <w:rPr>
                              <w:rFonts w:cs="Times New Roman"/>
                              <w:color w:val="000000"/>
                              <w:kern w:val="0"/>
                              <w:sz w:val="12"/>
                              <w:szCs w:val="12"/>
                              <w:lang w:val="fr-FR" w:bidi="ar-SA"/>
                            </w:rPr>
                          </w:pPr>
                          <w:r>
                            <w:rPr>
                              <w:rFonts w:cs="Times New Roman"/>
                              <w:color w:val="000000"/>
                              <w:kern w:val="0"/>
                              <w:sz w:val="12"/>
                              <w:szCs w:val="12"/>
                              <w:lang w:val="fr-FR" w:bidi="ar-SA"/>
                            </w:rPr>
                            <w:t>69326 LYON Cedex 03</w:t>
                          </w:r>
                        </w:p>
                        <w:p>
                          <w:pPr>
                            <w:pStyle w:val="Footer"/>
                            <w:widowControl w:val="false"/>
                            <w:suppressAutoHyphens w:val="true"/>
                            <w:spacing w:before="0" w:after="0"/>
                            <w:rPr>
                              <w:rFonts w:cs="Times New Roman"/>
                              <w:color w:val="000000"/>
                              <w:kern w:val="0"/>
                              <w:sz w:val="12"/>
                              <w:szCs w:val="12"/>
                              <w:lang w:val="fr-FR" w:bidi="ar-SA"/>
                            </w:rPr>
                          </w:pPr>
                          <w:r>
                            <w:rPr>
                              <w:rFonts w:cs="Times New Roman"/>
                              <w:color w:val="000000"/>
                              <w:kern w:val="0"/>
                              <w:sz w:val="12"/>
                              <w:szCs w:val="12"/>
                              <w:lang w:val="fr-FR" w:bidi="ar-SA"/>
                            </w:rPr>
                            <w:t>FRANCE</w:t>
                          </w:r>
                        </w:p>
                        <w:p>
                          <w:pPr>
                            <w:pStyle w:val="Footer"/>
                            <w:widowControl w:val="false"/>
                            <w:suppressAutoHyphens w:val="true"/>
                            <w:spacing w:before="0" w:after="0"/>
                            <w:rPr>
                              <w:rFonts w:cs="Times New Roman"/>
                              <w:color w:val="000000"/>
                              <w:kern w:val="0"/>
                              <w:sz w:val="12"/>
                              <w:szCs w:val="12"/>
                              <w:lang w:val="fr-FR" w:bidi="ar-SA"/>
                            </w:rPr>
                          </w:pPr>
                          <w:r>
                            <w:rPr>
                              <w:rFonts w:cs="Times New Roman"/>
                              <w:color w:val="000000"/>
                              <w:kern w:val="0"/>
                              <w:sz w:val="12"/>
                              <w:szCs w:val="12"/>
                              <w:lang w:val="fr-FR" w:bidi="ar-SA"/>
                            </w:rPr>
                            <w:t>T : 04 27 85 49 80</w:t>
                          </w:r>
                        </w:p>
                        <w:p>
                          <w:pPr>
                            <w:pStyle w:val="Footer"/>
                            <w:widowControl w:val="false"/>
                            <w:suppressAutoHyphens w:val="true"/>
                            <w:spacing w:before="0" w:after="0"/>
                            <w:rPr>
                              <w:rFonts w:cs="Times New Roman"/>
                              <w:color w:val="000000"/>
                              <w:kern w:val="0"/>
                              <w:sz w:val="12"/>
                              <w:szCs w:val="12"/>
                              <w:lang w:val="en-US" w:bidi="ar-SA"/>
                            </w:rPr>
                          </w:pPr>
                          <w:r>
                            <w:rPr>
                              <w:rFonts w:cs="Times New Roman"/>
                              <w:color w:val="000000"/>
                              <w:kern w:val="0"/>
                              <w:sz w:val="12"/>
                              <w:szCs w:val="12"/>
                              <w:lang w:val="en-US" w:bidi="ar-SA"/>
                            </w:rPr>
                            <w:t>F : 04 27 85 49 81</w:t>
                          </w:r>
                        </w:p>
                        <w:p>
                          <w:pPr>
                            <w:pStyle w:val="Footer"/>
                            <w:widowControl w:val="false"/>
                            <w:suppressAutoHyphens w:val="true"/>
                            <w:spacing w:before="0" w:after="0"/>
                            <w:rPr/>
                          </w:pPr>
                          <w:hyperlink r:id="rId9">
                            <w:r>
                              <w:rPr>
                                <w:rStyle w:val="Hyperlink"/>
                                <w:rFonts w:cs="Times New Roman"/>
                                <w:kern w:val="0"/>
                                <w:sz w:val="12"/>
                                <w:szCs w:val="12"/>
                                <w:lang w:val="en-US" w:bidi="ar-SA"/>
                              </w:rPr>
                              <w:t>diades.lyon@setec.com</w:t>
                            </w:r>
                          </w:hyperlink>
                        </w:p>
                        <w:p>
                          <w:pPr>
                            <w:pStyle w:val="Footer"/>
                            <w:widowControl w:val="false"/>
                            <w:suppressAutoHyphens w:val="true"/>
                            <w:spacing w:before="0" w:after="0"/>
                            <w:rPr>
                              <w:rFonts w:cs="Times New Roman"/>
                              <w:color w:val="000000"/>
                              <w:kern w:val="0"/>
                              <w:sz w:val="12"/>
                              <w:szCs w:val="12"/>
                              <w:lang w:val="en-US" w:bidi="ar-SA"/>
                            </w:rPr>
                          </w:pPr>
                          <w:r>
                            <w:rPr>
                              <w:rFonts w:cs="Times New Roman"/>
                              <w:color w:val="000000"/>
                              <w:kern w:val="0"/>
                              <w:sz w:val="12"/>
                              <w:szCs w:val="12"/>
                              <w:lang w:val="en-US" w:bidi="ar-SA"/>
                            </w:rPr>
                            <w:t>Siret : 508 866 886 00098</w:t>
                          </w:r>
                        </w:p>
                      </w:tc>
                      <w:tc>
                        <w:tcPr>
                          <w:tcW w:w="2266" w:type="dxa"/>
                          <w:tcBorders/>
                        </w:tcPr>
                        <w:p>
                          <w:pPr>
                            <w:pStyle w:val="Footer"/>
                            <w:widowControl w:val="false"/>
                            <w:suppressAutoHyphens w:val="true"/>
                            <w:spacing w:before="0" w:after="0"/>
                            <w:rPr>
                              <w:rFonts w:cs="Times New Roman"/>
                              <w:b/>
                              <w:color w:val="000000"/>
                              <w:kern w:val="0"/>
                              <w:sz w:val="12"/>
                              <w:szCs w:val="12"/>
                              <w:lang w:val="fr-FR" w:bidi="ar-SA"/>
                            </w:rPr>
                          </w:pPr>
                          <w:r>
                            <w:rPr>
                              <w:rFonts w:cs="Times New Roman"/>
                              <w:b/>
                              <w:color w:val="000000"/>
                              <w:kern w:val="0"/>
                              <w:sz w:val="12"/>
                              <w:szCs w:val="12"/>
                              <w:lang w:val="fr-FR" w:bidi="ar-SA"/>
                            </w:rPr>
                            <w:t>Agence Sud-Ouest</w:t>
                          </w:r>
                        </w:p>
                        <w:p>
                          <w:pPr>
                            <w:pStyle w:val="Footer"/>
                            <w:widowControl w:val="false"/>
                            <w:suppressAutoHyphens w:val="true"/>
                            <w:spacing w:before="0" w:after="0"/>
                            <w:rPr>
                              <w:rFonts w:cs="Times New Roman"/>
                              <w:color w:val="000000"/>
                              <w:kern w:val="0"/>
                              <w:sz w:val="12"/>
                              <w:szCs w:val="12"/>
                              <w:lang w:val="fr-FR" w:bidi="ar-SA"/>
                            </w:rPr>
                          </w:pPr>
                          <w:r>
                            <w:rPr>
                              <w:rFonts w:cs="Times New Roman"/>
                              <w:color w:val="000000"/>
                              <w:kern w:val="0"/>
                              <w:sz w:val="12"/>
                              <w:szCs w:val="12"/>
                              <w:lang w:val="fr-FR" w:bidi="ar-SA"/>
                            </w:rPr>
                            <w:t>42-44 Rue du Général de Larminat</w:t>
                          </w:r>
                        </w:p>
                        <w:p>
                          <w:pPr>
                            <w:pStyle w:val="Footer"/>
                            <w:widowControl w:val="false"/>
                            <w:suppressAutoHyphens w:val="true"/>
                            <w:spacing w:before="0" w:after="0"/>
                            <w:rPr>
                              <w:rFonts w:cs="Times New Roman"/>
                              <w:color w:val="000000"/>
                              <w:kern w:val="0"/>
                              <w:sz w:val="12"/>
                              <w:szCs w:val="12"/>
                              <w:lang w:val="fr-FR" w:bidi="ar-SA"/>
                            </w:rPr>
                          </w:pPr>
                          <w:r>
                            <w:rPr>
                              <w:rFonts w:cs="Times New Roman"/>
                              <w:color w:val="000000"/>
                              <w:kern w:val="0"/>
                              <w:sz w:val="12"/>
                              <w:szCs w:val="12"/>
                              <w:lang w:val="fr-FR" w:bidi="ar-SA"/>
                            </w:rPr>
                            <w:t>33000 Bordeaux</w:t>
                          </w:r>
                        </w:p>
                        <w:p>
                          <w:pPr>
                            <w:pStyle w:val="Footer"/>
                            <w:widowControl w:val="false"/>
                            <w:suppressAutoHyphens w:val="true"/>
                            <w:spacing w:before="0" w:after="0"/>
                            <w:rPr>
                              <w:rFonts w:cs="Times New Roman"/>
                              <w:color w:val="000000"/>
                              <w:kern w:val="0"/>
                              <w:sz w:val="12"/>
                              <w:szCs w:val="12"/>
                              <w:lang w:val="fr-FR" w:bidi="ar-SA"/>
                            </w:rPr>
                          </w:pPr>
                          <w:r>
                            <w:rPr>
                              <w:rFonts w:cs="Times New Roman"/>
                              <w:color w:val="000000"/>
                              <w:kern w:val="0"/>
                              <w:sz w:val="12"/>
                              <w:szCs w:val="12"/>
                              <w:lang w:val="fr-FR" w:bidi="ar-SA"/>
                            </w:rPr>
                            <w:t>FRANCE</w:t>
                          </w:r>
                        </w:p>
                        <w:p>
                          <w:pPr>
                            <w:pStyle w:val="Footer"/>
                            <w:widowControl w:val="false"/>
                            <w:suppressAutoHyphens w:val="true"/>
                            <w:spacing w:before="0" w:after="0"/>
                            <w:rPr>
                              <w:color w:val="000000"/>
                              <w:sz w:val="12"/>
                              <w:szCs w:val="12"/>
                            </w:rPr>
                          </w:pPr>
                          <w:r>
                            <w:rPr>
                              <w:color w:val="000000"/>
                              <w:sz w:val="12"/>
                              <w:szCs w:val="12"/>
                            </w:rPr>
                          </w:r>
                        </w:p>
                        <w:p>
                          <w:pPr>
                            <w:pStyle w:val="Footer"/>
                            <w:widowControl w:val="false"/>
                            <w:suppressAutoHyphens w:val="true"/>
                            <w:spacing w:before="0" w:after="0"/>
                            <w:rPr>
                              <w:rFonts w:cs="Times New Roman"/>
                              <w:color w:val="000000"/>
                              <w:kern w:val="0"/>
                              <w:sz w:val="12"/>
                              <w:szCs w:val="12"/>
                              <w:lang w:val="fr-FR" w:bidi="ar-SA"/>
                            </w:rPr>
                          </w:pPr>
                          <w:r>
                            <w:rPr>
                              <w:rFonts w:cs="Times New Roman"/>
                              <w:color w:val="000000"/>
                              <w:kern w:val="0"/>
                              <w:sz w:val="12"/>
                              <w:szCs w:val="12"/>
                              <w:lang w:val="fr-FR" w:bidi="ar-SA"/>
                            </w:rPr>
                            <w:t>T : 05 24 54 55 01</w:t>
                          </w:r>
                        </w:p>
                        <w:p>
                          <w:pPr>
                            <w:pStyle w:val="Footer"/>
                            <w:widowControl w:val="false"/>
                            <w:suppressAutoHyphens w:val="true"/>
                            <w:spacing w:before="0" w:after="0"/>
                            <w:rPr>
                              <w:rFonts w:cs="Times New Roman"/>
                              <w:color w:val="000000"/>
                              <w:kern w:val="0"/>
                              <w:sz w:val="12"/>
                              <w:szCs w:val="12"/>
                              <w:lang w:val="fr-FR" w:bidi="ar-SA"/>
                            </w:rPr>
                          </w:pPr>
                          <w:r>
                            <w:rPr>
                              <w:rFonts w:cs="Times New Roman"/>
                              <w:color w:val="000000"/>
                              <w:kern w:val="0"/>
                              <w:sz w:val="12"/>
                              <w:szCs w:val="12"/>
                              <w:lang w:val="fr-FR" w:bidi="ar-SA"/>
                            </w:rPr>
                            <w:t>F : 05 24 54 55 46</w:t>
                          </w:r>
                        </w:p>
                        <w:p>
                          <w:pPr>
                            <w:pStyle w:val="Footer"/>
                            <w:widowControl w:val="false"/>
                            <w:suppressAutoHyphens w:val="true"/>
                            <w:spacing w:before="0" w:after="0"/>
                            <w:rPr/>
                          </w:pPr>
                          <w:hyperlink r:id="rId10">
                            <w:r>
                              <w:rPr>
                                <w:rStyle w:val="Hyperlink"/>
                                <w:rFonts w:cs="Times New Roman"/>
                                <w:color w:val="000000"/>
                                <w:kern w:val="0"/>
                                <w:sz w:val="12"/>
                                <w:szCs w:val="12"/>
                                <w:lang w:val="fr-FR" w:bidi="ar-SA"/>
                              </w:rPr>
                              <w:t>diades.bordeaux@setec.com</w:t>
                            </w:r>
                          </w:hyperlink>
                        </w:p>
                        <w:p>
                          <w:pPr>
                            <w:pStyle w:val="Footer"/>
                            <w:widowControl w:val="false"/>
                            <w:suppressAutoHyphens w:val="true"/>
                            <w:spacing w:before="0" w:after="0"/>
                            <w:rPr>
                              <w:rFonts w:cs="Times New Roman"/>
                              <w:color w:val="000000"/>
                              <w:kern w:val="0"/>
                              <w:sz w:val="12"/>
                              <w:szCs w:val="12"/>
                              <w:lang w:val="fr-FR" w:bidi="ar-SA"/>
                            </w:rPr>
                          </w:pPr>
                          <w:r>
                            <w:rPr>
                              <w:rFonts w:cs="Times New Roman"/>
                              <w:color w:val="000000"/>
                              <w:kern w:val="0"/>
                              <w:sz w:val="12"/>
                              <w:szCs w:val="12"/>
                              <w:lang w:val="fr-FR" w:bidi="ar-SA"/>
                            </w:rPr>
                            <w:t>Siret : 508 866 886 00072</w:t>
                          </w:r>
                        </w:p>
                      </w:tc>
                      <w:tc>
                        <w:tcPr>
                          <w:tcW w:w="1984" w:type="dxa"/>
                          <w:tcBorders/>
                        </w:tcPr>
                        <w:p>
                          <w:pPr>
                            <w:pStyle w:val="Footer"/>
                            <w:widowControl w:val="false"/>
                            <w:suppressAutoHyphens w:val="true"/>
                            <w:spacing w:before="0" w:after="0"/>
                            <w:rPr>
                              <w:rFonts w:cs="Times New Roman"/>
                              <w:b/>
                              <w:color w:val="000000"/>
                              <w:kern w:val="0"/>
                              <w:sz w:val="12"/>
                              <w:szCs w:val="12"/>
                              <w:lang w:val="fr-FR" w:bidi="ar-SA"/>
                            </w:rPr>
                          </w:pPr>
                          <w:r>
                            <w:rPr>
                              <w:rFonts w:cs="Times New Roman"/>
                              <w:b/>
                              <w:color w:val="000000"/>
                              <w:kern w:val="0"/>
                              <w:sz w:val="12"/>
                              <w:szCs w:val="12"/>
                              <w:lang w:val="fr-FR" w:bidi="ar-SA"/>
                            </w:rPr>
                            <w:t>Agence Nord-Est</w:t>
                          </w:r>
                        </w:p>
                        <w:p>
                          <w:pPr>
                            <w:pStyle w:val="Footer"/>
                            <w:widowControl w:val="false"/>
                            <w:suppressAutoHyphens w:val="true"/>
                            <w:spacing w:before="0" w:after="0"/>
                            <w:rPr>
                              <w:rFonts w:cs="Times New Roman"/>
                              <w:color w:val="000000"/>
                              <w:kern w:val="0"/>
                              <w:sz w:val="12"/>
                              <w:szCs w:val="12"/>
                              <w:lang w:val="fr-FR" w:bidi="ar-SA"/>
                            </w:rPr>
                          </w:pPr>
                          <w:r>
                            <w:rPr>
                              <w:rFonts w:cs="Times New Roman"/>
                              <w:color w:val="000000"/>
                              <w:kern w:val="0"/>
                              <w:sz w:val="12"/>
                              <w:szCs w:val="12"/>
                              <w:lang w:val="fr-FR" w:bidi="ar-SA"/>
                            </w:rPr>
                            <w:t>13 quai Kléber</w:t>
                          </w:r>
                        </w:p>
                        <w:p>
                          <w:pPr>
                            <w:pStyle w:val="Footer"/>
                            <w:widowControl w:val="false"/>
                            <w:suppressAutoHyphens w:val="true"/>
                            <w:spacing w:before="0" w:after="0"/>
                            <w:rPr>
                              <w:rFonts w:cs="Times New Roman"/>
                              <w:color w:val="000000"/>
                              <w:kern w:val="0"/>
                              <w:sz w:val="12"/>
                              <w:szCs w:val="12"/>
                              <w:lang w:val="fr-FR" w:bidi="ar-SA"/>
                            </w:rPr>
                          </w:pPr>
                          <w:r>
                            <w:rPr>
                              <w:rFonts w:cs="Times New Roman"/>
                              <w:color w:val="000000"/>
                              <w:kern w:val="0"/>
                              <w:sz w:val="12"/>
                              <w:szCs w:val="12"/>
                              <w:lang w:val="fr-FR" w:bidi="ar-SA"/>
                            </w:rPr>
                            <w:t>67000 Strasbourg</w:t>
                          </w:r>
                        </w:p>
                        <w:p>
                          <w:pPr>
                            <w:pStyle w:val="Footer"/>
                            <w:widowControl w:val="false"/>
                            <w:suppressAutoHyphens w:val="true"/>
                            <w:spacing w:before="0" w:after="0"/>
                            <w:rPr>
                              <w:rFonts w:cs="Times New Roman"/>
                              <w:color w:val="000000"/>
                              <w:kern w:val="0"/>
                              <w:sz w:val="12"/>
                              <w:szCs w:val="12"/>
                              <w:lang w:val="fr-FR" w:bidi="ar-SA"/>
                            </w:rPr>
                          </w:pPr>
                          <w:r>
                            <w:rPr>
                              <w:rFonts w:cs="Times New Roman"/>
                              <w:color w:val="000000"/>
                              <w:kern w:val="0"/>
                              <w:sz w:val="12"/>
                              <w:szCs w:val="12"/>
                              <w:lang w:val="fr-FR" w:bidi="ar-SA"/>
                            </w:rPr>
                            <w:t>FRANCE</w:t>
                          </w:r>
                        </w:p>
                        <w:p>
                          <w:pPr>
                            <w:pStyle w:val="Footer"/>
                            <w:widowControl w:val="false"/>
                            <w:suppressAutoHyphens w:val="true"/>
                            <w:spacing w:before="0" w:after="0"/>
                            <w:rPr>
                              <w:color w:val="000000"/>
                              <w:sz w:val="12"/>
                              <w:szCs w:val="12"/>
                            </w:rPr>
                          </w:pPr>
                          <w:r>
                            <w:rPr>
                              <w:color w:val="000000"/>
                              <w:sz w:val="12"/>
                              <w:szCs w:val="12"/>
                            </w:rPr>
                          </w:r>
                        </w:p>
                        <w:p>
                          <w:pPr>
                            <w:pStyle w:val="Footer"/>
                            <w:widowControl w:val="false"/>
                            <w:suppressAutoHyphens w:val="true"/>
                            <w:spacing w:before="0" w:after="0"/>
                            <w:rPr>
                              <w:rFonts w:cs="Times New Roman"/>
                              <w:color w:val="000000"/>
                              <w:kern w:val="0"/>
                              <w:sz w:val="12"/>
                              <w:szCs w:val="12"/>
                              <w:lang w:val="fr-FR" w:bidi="ar-SA"/>
                            </w:rPr>
                          </w:pPr>
                          <w:r>
                            <w:rPr>
                              <w:rFonts w:cs="Times New Roman"/>
                              <w:color w:val="000000"/>
                              <w:kern w:val="0"/>
                              <w:sz w:val="12"/>
                              <w:szCs w:val="12"/>
                              <w:lang w:val="fr-FR" w:bidi="ar-SA"/>
                            </w:rPr>
                            <w:t>T : 03 88 75 54 36</w:t>
                          </w:r>
                        </w:p>
                        <w:p>
                          <w:pPr>
                            <w:pStyle w:val="Footer"/>
                            <w:widowControl w:val="false"/>
                            <w:suppressAutoHyphens w:val="true"/>
                            <w:spacing w:before="0" w:after="0"/>
                            <w:rPr>
                              <w:rFonts w:cs="Times New Roman"/>
                              <w:color w:val="000000"/>
                              <w:kern w:val="0"/>
                              <w:sz w:val="12"/>
                              <w:szCs w:val="12"/>
                              <w:lang w:val="fr-FR" w:bidi="ar-SA"/>
                            </w:rPr>
                          </w:pPr>
                          <w:r>
                            <w:rPr>
                              <w:rFonts w:cs="Times New Roman"/>
                              <w:color w:val="000000"/>
                              <w:kern w:val="0"/>
                              <w:sz w:val="12"/>
                              <w:szCs w:val="12"/>
                              <w:lang w:val="fr-FR" w:bidi="ar-SA"/>
                            </w:rPr>
                            <w:t>F : 03 67 22 04 99</w:t>
                          </w:r>
                        </w:p>
                        <w:p>
                          <w:pPr>
                            <w:pStyle w:val="Footer"/>
                            <w:widowControl w:val="false"/>
                            <w:suppressAutoHyphens w:val="true"/>
                            <w:spacing w:before="0" w:after="0"/>
                            <w:rPr/>
                          </w:pPr>
                          <w:hyperlink r:id="rId11">
                            <w:r>
                              <w:rPr>
                                <w:rStyle w:val="Hyperlink"/>
                                <w:rFonts w:cs="Times New Roman"/>
                                <w:color w:val="000000"/>
                                <w:kern w:val="0"/>
                                <w:sz w:val="12"/>
                                <w:szCs w:val="12"/>
                                <w:lang w:val="fr-FR" w:bidi="ar-SA"/>
                              </w:rPr>
                              <w:t>diades.strasbourg@setec.com</w:t>
                            </w:r>
                          </w:hyperlink>
                        </w:p>
                        <w:p>
                          <w:pPr>
                            <w:pStyle w:val="Footer"/>
                            <w:widowControl w:val="false"/>
                            <w:suppressAutoHyphens w:val="true"/>
                            <w:spacing w:before="0" w:after="0"/>
                            <w:rPr>
                              <w:rFonts w:cs="Times New Roman"/>
                              <w:color w:val="000000"/>
                              <w:kern w:val="0"/>
                              <w:sz w:val="12"/>
                              <w:szCs w:val="12"/>
                              <w:lang w:val="fr-FR" w:bidi="ar-SA"/>
                            </w:rPr>
                          </w:pPr>
                          <w:r>
                            <w:rPr>
                              <w:rFonts w:cs="Times New Roman"/>
                              <w:color w:val="000000"/>
                              <w:kern w:val="0"/>
                              <w:sz w:val="12"/>
                              <w:szCs w:val="12"/>
                              <w:lang w:val="fr-FR" w:bidi="ar-SA"/>
                            </w:rPr>
                            <w:t>Siret : 508 866 886 00080</w:t>
                          </w:r>
                        </w:p>
                      </w:tc>
                      <w:tc>
                        <w:tcPr>
                          <w:tcW w:w="2128" w:type="dxa"/>
                          <w:tcBorders/>
                        </w:tcPr>
                        <w:p>
                          <w:pPr>
                            <w:pStyle w:val="Footer"/>
                            <w:widowControl w:val="false"/>
                            <w:suppressAutoHyphens w:val="true"/>
                            <w:spacing w:before="0" w:after="0"/>
                            <w:jc w:val="center"/>
                            <w:rPr>
                              <w:color w:val="000000"/>
                              <w:sz w:val="12"/>
                              <w:szCs w:val="12"/>
                            </w:rPr>
                          </w:pPr>
                          <w:r>
                            <w:rPr>
                              <w:color w:val="000000"/>
                              <w:sz w:val="12"/>
                              <w:szCs w:val="12"/>
                            </w:rPr>
                          </w:r>
                        </w:p>
                      </w:tc>
                    </w:tr>
                  </w:tbl>
                  <w:p>
                    <w:pPr>
                      <w:pStyle w:val="Footer"/>
                      <w:jc w:val="center"/>
                      <w:rPr>
                        <w:color w:val="000000"/>
                        <w:sz w:val="12"/>
                        <w:szCs w:val="12"/>
                      </w:rPr>
                    </w:pPr>
                    <w:r>
                      <w:rPr>
                        <w:color w:val="000000"/>
                        <w:sz w:val="12"/>
                        <w:szCs w:val="12"/>
                      </w:rPr>
                      <w:t xml:space="preserve"> </w:t>
                    </w:r>
                  </w:p>
                  <w:p>
                    <w:pPr>
                      <w:pStyle w:val="Footer"/>
                      <w:jc w:val="left"/>
                      <w:rPr>
                        <w:color w:val="000000"/>
                        <w:sz w:val="10"/>
                        <w:szCs w:val="10"/>
                      </w:rPr>
                    </w:pPr>
                    <w:r>
                      <w:rPr>
                        <w:color w:val="000000"/>
                        <w:sz w:val="10"/>
                        <w:szCs w:val="10"/>
                      </w:rPr>
                      <w:t>Siège social : Immeuble Central Seine – 42-52 quai de la Rapée – CS 71230 – 75583 Paris Cedex 12 – SAS au capital de 40 000 € - RCS PARIS 508 866 886 – TVA FR23508866886</w:t>
                    </w:r>
                  </w:p>
                  <w:p>
                    <w:pPr>
                      <w:pStyle w:val="Footer"/>
                      <w:jc w:val="center"/>
                      <w:rPr/>
                    </w:pPr>
                    <w:hyperlink r:id="rId12">
                      <w:r>
                        <w:rPr>
                          <w:rStyle w:val="Hyperlink"/>
                          <w:color w:val="000000"/>
                          <w:sz w:val="12"/>
                          <w:szCs w:val="12"/>
                        </w:rPr>
                        <w:t>diades@setec.com</w:t>
                      </w:r>
                    </w:hyperlink>
                    <w:r>
                      <w:rPr>
                        <w:color w:val="000000"/>
                        <w:sz w:val="12"/>
                        <w:szCs w:val="12"/>
                      </w:rPr>
                      <w:t xml:space="preserve"> – </w:t>
                    </w:r>
                    <w:hyperlink r:id="rId13">
                      <w:r>
                        <w:rPr>
                          <w:rStyle w:val="Hyperlink"/>
                          <w:color w:val="000000"/>
                          <w:sz w:val="12"/>
                          <w:szCs w:val="12"/>
                        </w:rPr>
                        <w:t>www.diades.fr</w:t>
                      </w:r>
                    </w:hyperlink>
                  </w:p>
                  <w:p>
                    <w:pPr>
                      <w:pStyle w:val="Contenudecadre"/>
                      <w:spacing w:before="0" w:after="0"/>
                      <w:rPr>
                        <w:rFonts w:eastAsia="SimSun"/>
                        <w:sz w:val="8"/>
                        <w:szCs w:val="8"/>
                        <w:lang w:eastAsia="zh-CN"/>
                      </w:rPr>
                    </w:pPr>
                    <w:r>
                      <w:rPr>
                        <w:rFonts w:eastAsia="SimSun"/>
                        <w:sz w:val="8"/>
                        <w:szCs w:val="8"/>
                        <w:lang w:eastAsia="zh-CN"/>
                      </w:rPr>
                    </w:r>
                  </w:p>
                  <w:p>
                    <w:pPr>
                      <w:pStyle w:val="Contenudecadre"/>
                      <w:spacing w:before="0" w:after="0"/>
                      <w:rPr>
                        <w:rFonts w:eastAsia="SimSun"/>
                        <w:sz w:val="8"/>
                        <w:szCs w:val="8"/>
                        <w:lang w:eastAsia="zh-CN"/>
                      </w:rPr>
                    </w:pPr>
                    <w:r>
                      <w:rPr>
                        <w:rFonts w:eastAsia="SimSun"/>
                        <w:sz w:val="8"/>
                        <w:szCs w:val="8"/>
                        <w:lang w:eastAsia="zh-CN"/>
                      </w:rPr>
                      <w:t>Ce document est la propriété de DIADES. Aucune reproduction, même partielle, ne pourra être faite sans autorisation écrite de l’auteur conformément à la loi du 11 Mars 1957 n°57298 et le code de propriété intellectuelle Livre 1, Articles L111.1 et suivants, et Articles L 511.1 et suivants.</w:t>
                    </w:r>
                  </w:p>
                  <w:p>
                    <w:pPr>
                      <w:pStyle w:val="Footer"/>
                      <w:jc w:val="center"/>
                      <w:rPr>
                        <w:color w:val="1F497D"/>
                        <w:sz w:val="12"/>
                        <w:szCs w:val="12"/>
                      </w:rPr>
                    </w:pPr>
                    <w:r>
                      <w:rPr>
                        <w:color w:val="1F497D"/>
                        <w:sz w:val="12"/>
                        <w:szCs w:val="12"/>
                      </w:rPr>
                    </w:r>
                  </w:p>
                  <w:p>
                    <w:pPr>
                      <w:pStyle w:val="Contenudecadre"/>
                      <w:spacing w:before="0" w:after="120"/>
                      <w:rPr/>
                    </w:pPr>
                    <w:r>
                      <w:rPr/>
                    </w:r>
                  </w:p>
                </w:txbxContent>
              </v:textbox>
              <w10:wrap type="none"/>
            </v:rect>
          </w:pict>
        </mc:Fallback>
      </mc:AlternateContent>
    </w:r>
    <w:bookmarkStart w:id="5" w:name="_Hlk69316774"/>
    <w:bookmarkEnd w:id="5"/>
  </w:p>
  <w:p>
    <w:pPr>
      <w:pStyle w:val="Normal"/>
      <w:spacing w:before="0" w:after="0"/>
      <w:rPr>
        <w:rFonts w:eastAsia="SimSun"/>
        <w:sz w:val="8"/>
        <w:szCs w:val="8"/>
        <w:lang w:eastAsia="zh-CN"/>
      </w:rPr>
    </w:pPr>
    <w:r>
      <w:rPr>
        <w:rFonts w:eastAsia="SimSun"/>
        <w:sz w:val="8"/>
        <w:szCs w:val="8"/>
        <w:lang w:eastAsia="zh-CN"/>
      </w:rPr>
    </w:r>
  </w:p>
  <w:p>
    <w:pPr>
      <w:pStyle w:val="Footer"/>
      <w:rPr/>
    </w:pPr>
    <w:r>
      <w:rPr/>
    </w:r>
  </w:p>
</w:ftr>
</file>

<file path=word/footer1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0490" w:type="dxa"/>
      <w:jc w:val="left"/>
      <w:tblInd w:w="-459" w:type="dxa"/>
      <w:tblLayout w:type="fixed"/>
      <w:tblCellMar>
        <w:top w:w="0" w:type="dxa"/>
        <w:left w:w="108" w:type="dxa"/>
        <w:bottom w:w="0" w:type="dxa"/>
        <w:right w:w="108" w:type="dxa"/>
      </w:tblCellMar>
    </w:tblPr>
    <w:tblGrid>
      <w:gridCol w:w="3223"/>
      <w:gridCol w:w="4003"/>
      <w:gridCol w:w="3264"/>
    </w:tblGrid>
    <w:tr>
      <w:trPr/>
      <w:tc>
        <w:tcPr>
          <w:tcW w:w="3223" w:type="dxa"/>
          <w:tcBorders/>
          <w:vAlign w:val="center"/>
        </w:tcPr>
        <w:p>
          <w:pPr>
            <w:pStyle w:val="Footer"/>
            <w:widowControl w:val="false"/>
            <w:tabs>
              <w:tab w:val="clear" w:pos="4536"/>
              <w:tab w:val="clear" w:pos="9072"/>
              <w:tab w:val="center" w:pos="2976" w:leader="none"/>
            </w:tabs>
            <w:suppressAutoHyphens w:val="true"/>
            <w:spacing w:before="0" w:after="0"/>
            <w:ind w:hanging="0" w:left="0" w:right="35"/>
            <w:jc w:val="center"/>
            <w:rPr>
              <w:rFonts w:cs="Times New Roman"/>
              <w:b/>
              <w:bCs w:val="false"/>
              <w:kern w:val="0"/>
              <w:sz w:val="18"/>
              <w:szCs w:val="18"/>
              <w:lang w:val="fr-FR" w:bidi="ar-SA"/>
            </w:rPr>
          </w:pPr>
          <w:bookmarkStart w:id="41" w:name="_Hlk5360262135222"/>
          <w:bookmarkStart w:id="42" w:name="_Hlk5360262145222"/>
          <w:bookmarkEnd w:id="41"/>
          <w:bookmarkEnd w:id="42"/>
          <w:r>
            <w:rPr>
              <w:rFonts w:cs="Times New Roman"/>
              <w:b/>
              <w:bCs w:val="false"/>
              <w:kern w:val="0"/>
              <w:sz w:val="18"/>
              <w:szCs w:val="18"/>
              <w:lang w:val="fr-FR" w:bidi="ar-SA"/>
            </w:rPr>
            <w:t>Direction Interdépartementales des Routes</w:t>
          </w:r>
        </w:p>
        <w:p>
          <w:pPr>
            <w:pStyle w:val="Footer"/>
            <w:widowControl w:val="false"/>
            <w:tabs>
              <w:tab w:val="clear" w:pos="4536"/>
              <w:tab w:val="clear" w:pos="9072"/>
              <w:tab w:val="center" w:pos="2976" w:leader="none"/>
            </w:tabs>
            <w:suppressAutoHyphens w:val="true"/>
            <w:spacing w:before="0" w:after="0"/>
            <w:ind w:hanging="0" w:left="0" w:right="35"/>
            <w:jc w:val="center"/>
            <w:rPr>
              <w:rFonts w:cs="Times New Roman"/>
              <w:b/>
              <w:bCs w:val="false"/>
              <w:kern w:val="0"/>
              <w:sz w:val="18"/>
              <w:szCs w:val="18"/>
              <w:lang w:val="fr-FR" w:bidi="ar-SA"/>
            </w:rPr>
          </w:pPr>
          <w:r>
            <w:rPr>
              <w:rFonts w:cs="Times New Roman"/>
              <w:b/>
              <w:bCs w:val="false"/>
              <w:kern w:val="0"/>
              <w:sz w:val="18"/>
              <w:szCs w:val="18"/>
              <w:lang w:val="fr-FR" w:bidi="ar-SA"/>
            </w:rPr>
            <w:t>Centre -Ouest</w:t>
          </w:r>
        </w:p>
      </w:tc>
      <w:tc>
        <w:tcPr>
          <w:tcW w:w="4003" w:type="dxa"/>
          <w:tcBorders/>
          <w:vAlign w:val="center"/>
        </w:tcPr>
        <w:p>
          <w:pPr>
            <w:pStyle w:val="Footer"/>
            <w:widowControl w:val="false"/>
            <w:suppressAutoHyphens w:val="true"/>
            <w:spacing w:before="0" w:after="0"/>
            <w:ind w:hanging="0" w:left="0" w:right="-251"/>
            <w:jc w:val="center"/>
            <w:rPr/>
          </w:pPr>
          <w:r>
            <w:rPr/>
            <w:drawing>
              <wp:inline distT="0" distB="0" distL="0" distR="0">
                <wp:extent cx="405765" cy="539750"/>
                <wp:effectExtent l="0" t="0" r="0" b="0"/>
                <wp:docPr id="23" name="Image12" descr="Modèle de communiqué de pres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Image12" descr="Modèle de communiqué de presse"/>
                        <pic:cNvPicPr>
                          <a:picLocks noChangeAspect="1" noChangeArrowheads="1"/>
                        </pic:cNvPicPr>
                      </pic:nvPicPr>
                      <pic:blipFill>
                        <a:blip r:embed="rId1"/>
                        <a:stretch>
                          <a:fillRect/>
                        </a:stretch>
                      </pic:blipFill>
                      <pic:spPr bwMode="auto">
                        <a:xfrm>
                          <a:off x="0" y="0"/>
                          <a:ext cx="405765" cy="539750"/>
                        </a:xfrm>
                        <a:prstGeom prst="rect">
                          <a:avLst/>
                        </a:prstGeom>
                        <a:noFill/>
                      </pic:spPr>
                    </pic:pic>
                  </a:graphicData>
                </a:graphic>
              </wp:inline>
            </w:drawing>
          </w:r>
        </w:p>
      </w:tc>
      <w:tc>
        <w:tcPr>
          <w:tcW w:w="3264" w:type="dxa"/>
          <w:tcBorders/>
          <w:vAlign w:val="center"/>
        </w:tcPr>
        <w:p>
          <w:pPr>
            <w:pStyle w:val="Footer"/>
            <w:widowControl w:val="false"/>
            <w:suppressAutoHyphens w:val="true"/>
            <w:spacing w:before="240" w:after="0"/>
            <w:ind w:firstLine="639" w:left="0" w:right="0"/>
            <w:jc w:val="center"/>
            <w:rPr>
              <w:rFonts w:cs="Times New Roman"/>
              <w:b/>
              <w:bCs w:val="false"/>
              <w:kern w:val="0"/>
              <w:sz w:val="18"/>
              <w:szCs w:val="18"/>
              <w:lang w:val="fr-FR" w:bidi="ar-SA"/>
            </w:rPr>
          </w:pPr>
          <w:r>
            <w:rPr>
              <w:rFonts w:cs="Times New Roman"/>
              <w:b/>
              <w:bCs w:val="false"/>
              <w:kern w:val="0"/>
              <w:sz w:val="18"/>
              <w:szCs w:val="18"/>
              <w:lang w:val="fr-FR" w:bidi="ar-SA"/>
            </w:rPr>
            <w:t>B.P.U</w:t>
          </w:r>
        </w:p>
        <w:p>
          <w:pPr>
            <w:pStyle w:val="Footer"/>
            <w:widowControl w:val="false"/>
            <w:suppressAutoHyphens w:val="true"/>
            <w:spacing w:before="0" w:after="0"/>
            <w:ind w:hanging="0" w:left="602" w:right="995"/>
            <w:jc w:val="right"/>
            <w:rPr>
              <w:rFonts w:cs="Times New Roman"/>
              <w:b/>
              <w:bCs w:val="false"/>
              <w:kern w:val="0"/>
              <w:sz w:val="18"/>
              <w:szCs w:val="18"/>
              <w:lang w:val="fr-FR" w:bidi="ar-SA"/>
            </w:rPr>
          </w:pPr>
          <w:r>
            <w:rPr>
              <w:rFonts w:cs="Times New Roman"/>
              <w:b/>
              <w:bCs w:val="false"/>
              <w:kern w:val="0"/>
              <w:sz w:val="18"/>
              <w:szCs w:val="18"/>
              <w:lang w:val="fr-FR" w:bidi="ar-SA"/>
            </w:rPr>
            <w:t>Ind. B</w:t>
          </w:r>
        </w:p>
        <w:p>
          <w:pPr>
            <w:pStyle w:val="Footer"/>
            <w:widowControl w:val="false"/>
            <w:suppressAutoHyphens w:val="true"/>
            <w:spacing w:before="0" w:after="0"/>
            <w:ind w:hanging="0" w:left="602" w:right="745"/>
            <w:jc w:val="right"/>
            <w:rPr>
              <w:rFonts w:cs="Times New Roman"/>
              <w:b/>
              <w:bCs w:val="false"/>
              <w:kern w:val="0"/>
              <w:sz w:val="18"/>
              <w:szCs w:val="18"/>
              <w:lang w:val="fr-FR" w:bidi="ar-SA"/>
            </w:rPr>
          </w:pPr>
          <w:r>
            <w:rPr>
              <w:rFonts w:cs="Times New Roman"/>
              <w:b/>
              <w:bCs w:val="false"/>
              <w:kern w:val="0"/>
              <w:sz w:val="18"/>
              <w:szCs w:val="18"/>
              <w:lang w:val="fr-FR" w:bidi="ar-SA"/>
            </w:rPr>
            <w:t>Mars 2026</w:t>
          </w:r>
        </w:p>
      </w:tc>
    </w:tr>
  </w:tbl>
  <w:p>
    <w:pPr>
      <w:pStyle w:val="Footer"/>
      <w:rPr/>
    </w:pPr>
    <w:r>
      <w:rPr/>
      <mc:AlternateContent>
        <mc:Choice Requires="wps">
          <w:drawing>
            <wp:anchor distT="0" distB="0" distL="0" distR="0" simplePos="0" relativeHeight="75" behindDoc="1" locked="0" layoutInCell="0" allowOverlap="1">
              <wp:simplePos x="0" y="0"/>
              <wp:positionH relativeFrom="rightMargin">
                <wp:posOffset>205740</wp:posOffset>
              </wp:positionH>
              <wp:positionV relativeFrom="page">
                <wp:posOffset>10008870</wp:posOffset>
              </wp:positionV>
              <wp:extent cx="1262380" cy="1231900"/>
              <wp:effectExtent l="0" t="635" r="635" b="635"/>
              <wp:wrapNone/>
              <wp:docPr id="24" name="Ellipse 5"/>
              <a:graphic xmlns:a="http://schemas.openxmlformats.org/drawingml/2006/main">
                <a:graphicData uri="http://schemas.microsoft.com/office/word/2010/wordprocessingShape">
                  <wps:wsp>
                    <wps:cNvSpPr/>
                    <wps:spPr>
                      <a:xfrm>
                        <a:off x="0" y="0"/>
                        <a:ext cx="1262520" cy="1231920"/>
                      </a:xfrm>
                      <a:prstGeom prst="ellipse">
                        <a:avLst/>
                      </a:prstGeom>
                      <a:solidFill>
                        <a:srgbClr val="BFBFBF"/>
                      </a:solidFill>
                      <a:ln w="0">
                        <a:noFill/>
                      </a:ln>
                    </wps:spPr>
                    <wps:style>
                      <a:lnRef idx="0"/>
                      <a:fillRef idx="0"/>
                      <a:effectRef idx="0"/>
                      <a:fontRef idx="minor"/>
                    </wps:style>
                    <wps:txbx>
                      <w:txbxContent>
                        <w:p>
                          <w:pPr>
                            <w:pStyle w:val="Contenudecadre"/>
                            <w:spacing w:before="240" w:after="0"/>
                            <w:jc w:val="left"/>
                            <w:rPr/>
                          </w:pPr>
                          <w:r>
                            <w:rPr>
                              <w:szCs w:val="22"/>
                            </w:rPr>
                            <w:t xml:space="preserve">  </w:t>
                          </w:r>
                          <w:r>
                            <w:rPr>
                              <w:b/>
                              <w:color w:val="FFFFFF"/>
                              <w:sz w:val="28"/>
                              <w:szCs w:val="22"/>
                            </w:rPr>
                            <w:fldChar w:fldCharType="begin"/>
                          </w:r>
                          <w:r>
                            <w:rPr>
                              <w:b/>
                              <w:color w:val="FFFFFF"/>
                              <w:sz w:val="28"/>
                              <w:szCs w:val="22"/>
                            </w:rPr>
                            <w:instrText xml:space="preserve"> PAGE </w:instrText>
                          </w:r>
                          <w:r>
                            <w:rPr>
                              <w:b/>
                              <w:color w:val="FFFFFF"/>
                              <w:sz w:val="28"/>
                              <w:szCs w:val="22"/>
                            </w:rPr>
                            <w:fldChar w:fldCharType="separate"/>
                          </w:r>
                          <w:r>
                            <w:rPr>
                              <w:b/>
                              <w:color w:val="FFFFFF"/>
                              <w:sz w:val="28"/>
                              <w:szCs w:val="22"/>
                            </w:rPr>
                            <w:t>25</w:t>
                          </w:r>
                          <w:r>
                            <w:rPr>
                              <w:b/>
                              <w:color w:val="FFFFFF"/>
                              <w:sz w:val="28"/>
                              <w:szCs w:val="22"/>
                            </w:rPr>
                            <w:fldChar w:fldCharType="end"/>
                          </w:r>
                        </w:p>
                      </w:txbxContent>
                    </wps:txbx>
                    <wps:bodyPr lIns="0" tIns="0" rIns="0" bIns="0" anchor="t">
                      <a:noAutofit/>
                    </wps:bodyPr>
                  </wps:wsp>
                </a:graphicData>
              </a:graphic>
            </wp:anchor>
          </w:drawing>
        </mc:Choice>
        <mc:Fallback>
          <w:pict>
            <v:oval id="shape_0" fillcolor="#bfbfbf" stroked="f" o:allowincell="f" style="position:absolute;margin-left:16.2pt;margin-top:788.1pt;width:99.35pt;height:96.95pt;mso-wrap-style:square;v-text-anchor:top;mso-position-horizontal-relative:page;mso-position-vertical-relative:page">
              <v:fill o:detectmouseclick="t" type="solid" color2="#404040"/>
              <v:stroke color="#3465a4" joinstyle="round" endcap="flat"/>
              <v:textbox>
                <w:txbxContent>
                  <w:p>
                    <w:pPr>
                      <w:pStyle w:val="Contenudecadre"/>
                      <w:spacing w:before="240" w:after="0"/>
                      <w:jc w:val="left"/>
                      <w:rPr/>
                    </w:pPr>
                    <w:r>
                      <w:rPr>
                        <w:szCs w:val="22"/>
                      </w:rPr>
                      <w:t xml:space="preserve">  </w:t>
                    </w:r>
                    <w:r>
                      <w:rPr>
                        <w:b/>
                        <w:color w:val="FFFFFF"/>
                        <w:sz w:val="28"/>
                        <w:szCs w:val="22"/>
                      </w:rPr>
                      <w:fldChar w:fldCharType="begin"/>
                    </w:r>
                    <w:r>
                      <w:rPr>
                        <w:b/>
                        <w:color w:val="FFFFFF"/>
                        <w:sz w:val="28"/>
                        <w:szCs w:val="22"/>
                      </w:rPr>
                      <w:instrText xml:space="preserve"> PAGE </w:instrText>
                    </w:r>
                    <w:r>
                      <w:rPr>
                        <w:b/>
                        <w:color w:val="FFFFFF"/>
                        <w:sz w:val="28"/>
                        <w:szCs w:val="22"/>
                      </w:rPr>
                      <w:fldChar w:fldCharType="separate"/>
                    </w:r>
                    <w:r>
                      <w:rPr>
                        <w:b/>
                        <w:color w:val="FFFFFF"/>
                        <w:sz w:val="28"/>
                        <w:szCs w:val="22"/>
                      </w:rPr>
                      <w:t>25</w:t>
                    </w:r>
                    <w:r>
                      <w:rPr>
                        <w:b/>
                        <w:color w:val="FFFFFF"/>
                        <w:sz w:val="28"/>
                        <w:szCs w:val="22"/>
                      </w:rPr>
                      <w:fldChar w:fldCharType="end"/>
                    </w:r>
                  </w:p>
                </w:txbxContent>
              </v:textbox>
              <w10:wrap type="none"/>
            </v:oval>
          </w:pict>
        </mc:Fallback>
      </mc:AlternateContent>
    </w:r>
    <w:bookmarkStart w:id="43" w:name="_Hlk53602621414222"/>
    <w:bookmarkStart w:id="44" w:name="_Hlk53602621314222"/>
    <w:bookmarkEnd w:id="43"/>
    <w:bookmarkEnd w:id="44"/>
  </w:p>
  <w:p>
    <w:pPr>
      <w:pStyle w:val="BodyText"/>
      <w:spacing w:lineRule="auto" w:line="5"/>
      <w:rPr/>
    </w:pPr>
    <w:r>
      <w:rPr/>
    </w:r>
  </w:p>
</w:ftr>
</file>

<file path=word/footer1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0490" w:type="dxa"/>
      <w:jc w:val="left"/>
      <w:tblInd w:w="-459" w:type="dxa"/>
      <w:tblLayout w:type="fixed"/>
      <w:tblCellMar>
        <w:top w:w="0" w:type="dxa"/>
        <w:left w:w="108" w:type="dxa"/>
        <w:bottom w:w="0" w:type="dxa"/>
        <w:right w:w="108" w:type="dxa"/>
      </w:tblCellMar>
    </w:tblPr>
    <w:tblGrid>
      <w:gridCol w:w="3223"/>
      <w:gridCol w:w="4003"/>
      <w:gridCol w:w="3264"/>
    </w:tblGrid>
    <w:tr>
      <w:trPr/>
      <w:tc>
        <w:tcPr>
          <w:tcW w:w="3223" w:type="dxa"/>
          <w:tcBorders/>
          <w:vAlign w:val="center"/>
        </w:tcPr>
        <w:p>
          <w:pPr>
            <w:pStyle w:val="Footer"/>
            <w:widowControl w:val="false"/>
            <w:tabs>
              <w:tab w:val="clear" w:pos="4536"/>
              <w:tab w:val="clear" w:pos="9072"/>
              <w:tab w:val="center" w:pos="2976" w:leader="none"/>
            </w:tabs>
            <w:suppressAutoHyphens w:val="true"/>
            <w:spacing w:before="0" w:after="0"/>
            <w:ind w:hanging="0" w:left="0" w:right="35"/>
            <w:jc w:val="center"/>
            <w:rPr>
              <w:rFonts w:cs="Times New Roman"/>
              <w:b/>
              <w:bCs w:val="false"/>
              <w:kern w:val="0"/>
              <w:sz w:val="18"/>
              <w:szCs w:val="18"/>
              <w:lang w:val="fr-FR" w:bidi="ar-SA"/>
            </w:rPr>
          </w:pPr>
          <w:bookmarkStart w:id="47" w:name="_Hlk53602621452222"/>
          <w:bookmarkStart w:id="48" w:name="_Hlk53602621352222"/>
          <w:bookmarkEnd w:id="47"/>
          <w:bookmarkEnd w:id="48"/>
          <w:r>
            <w:rPr>
              <w:rFonts w:cs="Times New Roman"/>
              <w:b/>
              <w:bCs w:val="false"/>
              <w:kern w:val="0"/>
              <w:sz w:val="18"/>
              <w:szCs w:val="18"/>
              <w:lang w:val="fr-FR" w:bidi="ar-SA"/>
            </w:rPr>
            <w:t>Direction Interdépartementales des Routes</w:t>
          </w:r>
        </w:p>
        <w:p>
          <w:pPr>
            <w:pStyle w:val="Footer"/>
            <w:widowControl w:val="false"/>
            <w:tabs>
              <w:tab w:val="clear" w:pos="4536"/>
              <w:tab w:val="clear" w:pos="9072"/>
              <w:tab w:val="center" w:pos="2976" w:leader="none"/>
            </w:tabs>
            <w:suppressAutoHyphens w:val="true"/>
            <w:spacing w:before="0" w:after="0"/>
            <w:ind w:hanging="0" w:left="0" w:right="35"/>
            <w:jc w:val="center"/>
            <w:rPr>
              <w:rFonts w:cs="Times New Roman"/>
              <w:b/>
              <w:bCs w:val="false"/>
              <w:kern w:val="0"/>
              <w:sz w:val="18"/>
              <w:szCs w:val="18"/>
              <w:lang w:val="fr-FR" w:bidi="ar-SA"/>
            </w:rPr>
          </w:pPr>
          <w:r>
            <w:rPr>
              <w:rFonts w:cs="Times New Roman"/>
              <w:b/>
              <w:bCs w:val="false"/>
              <w:kern w:val="0"/>
              <w:sz w:val="18"/>
              <w:szCs w:val="18"/>
              <w:lang w:val="fr-FR" w:bidi="ar-SA"/>
            </w:rPr>
            <w:t>Centre -Ouest</w:t>
          </w:r>
        </w:p>
      </w:tc>
      <w:tc>
        <w:tcPr>
          <w:tcW w:w="4003" w:type="dxa"/>
          <w:tcBorders/>
          <w:vAlign w:val="center"/>
        </w:tcPr>
        <w:p>
          <w:pPr>
            <w:pStyle w:val="Footer"/>
            <w:widowControl w:val="false"/>
            <w:suppressAutoHyphens w:val="true"/>
            <w:spacing w:before="0" w:after="0"/>
            <w:ind w:hanging="0" w:left="0" w:right="-251"/>
            <w:jc w:val="center"/>
            <w:rPr/>
          </w:pPr>
          <w:r>
            <w:rPr/>
            <w:drawing>
              <wp:inline distT="0" distB="0" distL="0" distR="0">
                <wp:extent cx="405765" cy="539750"/>
                <wp:effectExtent l="0" t="0" r="0" b="0"/>
                <wp:docPr id="26" name="Image14" descr="Modèle de communiqué de pres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14" descr="Modèle de communiqué de presse"/>
                        <pic:cNvPicPr>
                          <a:picLocks noChangeAspect="1" noChangeArrowheads="1"/>
                        </pic:cNvPicPr>
                      </pic:nvPicPr>
                      <pic:blipFill>
                        <a:blip r:embed="rId1"/>
                        <a:stretch>
                          <a:fillRect/>
                        </a:stretch>
                      </pic:blipFill>
                      <pic:spPr bwMode="auto">
                        <a:xfrm>
                          <a:off x="0" y="0"/>
                          <a:ext cx="405765" cy="539750"/>
                        </a:xfrm>
                        <a:prstGeom prst="rect">
                          <a:avLst/>
                        </a:prstGeom>
                        <a:noFill/>
                      </pic:spPr>
                    </pic:pic>
                  </a:graphicData>
                </a:graphic>
              </wp:inline>
            </w:drawing>
          </w:r>
        </w:p>
      </w:tc>
      <w:tc>
        <w:tcPr>
          <w:tcW w:w="3264" w:type="dxa"/>
          <w:tcBorders/>
          <w:vAlign w:val="center"/>
        </w:tcPr>
        <w:p>
          <w:pPr>
            <w:pStyle w:val="Footer"/>
            <w:widowControl w:val="false"/>
            <w:suppressAutoHyphens w:val="true"/>
            <w:spacing w:before="240" w:after="0"/>
            <w:ind w:firstLine="639" w:left="0" w:right="0"/>
            <w:jc w:val="center"/>
            <w:rPr>
              <w:rFonts w:cs="Times New Roman"/>
              <w:b/>
              <w:bCs w:val="false"/>
              <w:kern w:val="0"/>
              <w:sz w:val="18"/>
              <w:szCs w:val="18"/>
              <w:lang w:val="fr-FR" w:bidi="ar-SA"/>
            </w:rPr>
          </w:pPr>
          <w:r>
            <w:rPr>
              <w:rFonts w:cs="Times New Roman"/>
              <w:b/>
              <w:bCs w:val="false"/>
              <w:kern w:val="0"/>
              <w:sz w:val="18"/>
              <w:szCs w:val="18"/>
              <w:lang w:val="fr-FR" w:bidi="ar-SA"/>
            </w:rPr>
            <w:t>B.P.U</w:t>
          </w:r>
        </w:p>
        <w:p>
          <w:pPr>
            <w:pStyle w:val="Footer"/>
            <w:widowControl w:val="false"/>
            <w:suppressAutoHyphens w:val="true"/>
            <w:spacing w:before="0" w:after="0"/>
            <w:ind w:hanging="0" w:left="602" w:right="995"/>
            <w:jc w:val="right"/>
            <w:rPr>
              <w:rFonts w:cs="Times New Roman"/>
              <w:b/>
              <w:bCs w:val="false"/>
              <w:kern w:val="0"/>
              <w:sz w:val="18"/>
              <w:szCs w:val="18"/>
              <w:lang w:val="fr-FR" w:bidi="ar-SA"/>
            </w:rPr>
          </w:pPr>
          <w:r>
            <w:rPr>
              <w:rFonts w:cs="Times New Roman"/>
              <w:b/>
              <w:bCs w:val="false"/>
              <w:kern w:val="0"/>
              <w:sz w:val="18"/>
              <w:szCs w:val="18"/>
              <w:lang w:val="fr-FR" w:bidi="ar-SA"/>
            </w:rPr>
            <w:t>Ind. B</w:t>
          </w:r>
        </w:p>
        <w:p>
          <w:pPr>
            <w:pStyle w:val="Footer"/>
            <w:widowControl w:val="false"/>
            <w:suppressAutoHyphens w:val="true"/>
            <w:spacing w:before="0" w:after="0"/>
            <w:ind w:hanging="0" w:left="602" w:right="745"/>
            <w:jc w:val="right"/>
            <w:rPr>
              <w:rFonts w:cs="Times New Roman"/>
              <w:b/>
              <w:bCs w:val="false"/>
              <w:kern w:val="0"/>
              <w:sz w:val="18"/>
              <w:szCs w:val="18"/>
              <w:lang w:val="fr-FR" w:bidi="ar-SA"/>
            </w:rPr>
          </w:pPr>
          <w:r>
            <w:rPr>
              <w:rFonts w:cs="Times New Roman"/>
              <w:b/>
              <w:bCs w:val="false"/>
              <w:kern w:val="0"/>
              <w:sz w:val="18"/>
              <w:szCs w:val="18"/>
              <w:lang w:val="fr-FR" w:bidi="ar-SA"/>
            </w:rPr>
            <w:t>Mars 2026</w:t>
          </w:r>
        </w:p>
      </w:tc>
    </w:tr>
  </w:tbl>
  <w:p>
    <w:pPr>
      <w:pStyle w:val="Footer"/>
      <w:rPr/>
    </w:pPr>
    <w:r>
      <w:rPr/>
      <mc:AlternateContent>
        <mc:Choice Requires="wps">
          <w:drawing>
            <wp:anchor distT="0" distB="0" distL="0" distR="0" simplePos="0" relativeHeight="67" behindDoc="1" locked="0" layoutInCell="0" allowOverlap="1">
              <wp:simplePos x="0" y="0"/>
              <wp:positionH relativeFrom="rightMargin">
                <wp:posOffset>205740</wp:posOffset>
              </wp:positionH>
              <wp:positionV relativeFrom="page">
                <wp:posOffset>10008870</wp:posOffset>
              </wp:positionV>
              <wp:extent cx="1262380" cy="1231900"/>
              <wp:effectExtent l="0" t="635" r="635" b="635"/>
              <wp:wrapNone/>
              <wp:docPr id="27" name="Ellipse 6"/>
              <a:graphic xmlns:a="http://schemas.openxmlformats.org/drawingml/2006/main">
                <a:graphicData uri="http://schemas.microsoft.com/office/word/2010/wordprocessingShape">
                  <wps:wsp>
                    <wps:cNvSpPr/>
                    <wps:spPr>
                      <a:xfrm>
                        <a:off x="0" y="0"/>
                        <a:ext cx="1262520" cy="1231920"/>
                      </a:xfrm>
                      <a:prstGeom prst="ellipse">
                        <a:avLst/>
                      </a:prstGeom>
                      <a:solidFill>
                        <a:srgbClr val="BFBFBF"/>
                      </a:solidFill>
                      <a:ln w="0">
                        <a:noFill/>
                      </a:ln>
                    </wps:spPr>
                    <wps:style>
                      <a:lnRef idx="0"/>
                      <a:fillRef idx="0"/>
                      <a:effectRef idx="0"/>
                      <a:fontRef idx="minor"/>
                    </wps:style>
                    <wps:txbx>
                      <w:txbxContent>
                        <w:p>
                          <w:pPr>
                            <w:pStyle w:val="Contenudecadre"/>
                            <w:spacing w:before="240" w:after="0"/>
                            <w:jc w:val="left"/>
                            <w:rPr/>
                          </w:pPr>
                          <w:r>
                            <w:rPr>
                              <w:szCs w:val="22"/>
                            </w:rPr>
                            <w:t xml:space="preserve">  </w:t>
                          </w:r>
                          <w:r>
                            <w:rPr>
                              <w:b/>
                              <w:color w:val="FFFFFF"/>
                              <w:sz w:val="28"/>
                              <w:szCs w:val="22"/>
                            </w:rPr>
                            <w:fldChar w:fldCharType="begin"/>
                          </w:r>
                          <w:r>
                            <w:rPr>
                              <w:b/>
                              <w:color w:val="FFFFFF"/>
                              <w:sz w:val="28"/>
                              <w:szCs w:val="22"/>
                            </w:rPr>
                            <w:instrText xml:space="preserve"> PAGE </w:instrText>
                          </w:r>
                          <w:r>
                            <w:rPr>
                              <w:b/>
                              <w:color w:val="FFFFFF"/>
                              <w:sz w:val="28"/>
                              <w:szCs w:val="22"/>
                            </w:rPr>
                            <w:fldChar w:fldCharType="separate"/>
                          </w:r>
                          <w:r>
                            <w:rPr>
                              <w:b/>
                              <w:color w:val="FFFFFF"/>
                              <w:sz w:val="28"/>
                              <w:szCs w:val="22"/>
                            </w:rPr>
                            <w:t>26</w:t>
                          </w:r>
                          <w:r>
                            <w:rPr>
                              <w:b/>
                              <w:color w:val="FFFFFF"/>
                              <w:sz w:val="28"/>
                              <w:szCs w:val="22"/>
                            </w:rPr>
                            <w:fldChar w:fldCharType="end"/>
                          </w:r>
                        </w:p>
                      </w:txbxContent>
                    </wps:txbx>
                    <wps:bodyPr lIns="0" tIns="0" rIns="0" bIns="0" anchor="t">
                      <a:noAutofit/>
                    </wps:bodyPr>
                  </wps:wsp>
                </a:graphicData>
              </a:graphic>
            </wp:anchor>
          </w:drawing>
        </mc:Choice>
        <mc:Fallback>
          <w:pict>
            <v:oval id="shape_0" fillcolor="#bfbfbf" stroked="f" o:allowincell="f" style="position:absolute;margin-left:16.2pt;margin-top:788.1pt;width:99.35pt;height:96.95pt;mso-wrap-style:square;v-text-anchor:top;mso-position-horizontal-relative:page;mso-position-vertical-relative:page">
              <v:fill o:detectmouseclick="t" type="solid" color2="#404040"/>
              <v:stroke color="#3465a4" joinstyle="round" endcap="flat"/>
              <v:textbox>
                <w:txbxContent>
                  <w:p>
                    <w:pPr>
                      <w:pStyle w:val="Contenudecadre"/>
                      <w:spacing w:before="240" w:after="0"/>
                      <w:jc w:val="left"/>
                      <w:rPr/>
                    </w:pPr>
                    <w:r>
                      <w:rPr>
                        <w:szCs w:val="22"/>
                      </w:rPr>
                      <w:t xml:space="preserve">  </w:t>
                    </w:r>
                    <w:r>
                      <w:rPr>
                        <w:b/>
                        <w:color w:val="FFFFFF"/>
                        <w:sz w:val="28"/>
                        <w:szCs w:val="22"/>
                      </w:rPr>
                      <w:fldChar w:fldCharType="begin"/>
                    </w:r>
                    <w:r>
                      <w:rPr>
                        <w:b/>
                        <w:color w:val="FFFFFF"/>
                        <w:sz w:val="28"/>
                        <w:szCs w:val="22"/>
                      </w:rPr>
                      <w:instrText xml:space="preserve"> PAGE </w:instrText>
                    </w:r>
                    <w:r>
                      <w:rPr>
                        <w:b/>
                        <w:color w:val="FFFFFF"/>
                        <w:sz w:val="28"/>
                        <w:szCs w:val="22"/>
                      </w:rPr>
                      <w:fldChar w:fldCharType="separate"/>
                    </w:r>
                    <w:r>
                      <w:rPr>
                        <w:b/>
                        <w:color w:val="FFFFFF"/>
                        <w:sz w:val="28"/>
                        <w:szCs w:val="22"/>
                      </w:rPr>
                      <w:t>26</w:t>
                    </w:r>
                    <w:r>
                      <w:rPr>
                        <w:b/>
                        <w:color w:val="FFFFFF"/>
                        <w:sz w:val="28"/>
                        <w:szCs w:val="22"/>
                      </w:rPr>
                      <w:fldChar w:fldCharType="end"/>
                    </w:r>
                  </w:p>
                </w:txbxContent>
              </v:textbox>
              <w10:wrap type="none"/>
            </v:oval>
          </w:pict>
        </mc:Fallback>
      </mc:AlternateContent>
    </w:r>
    <w:bookmarkStart w:id="49" w:name="_Hlk536026213142222"/>
    <w:bookmarkStart w:id="50" w:name="_Hlk536026214142222"/>
    <w:bookmarkEnd w:id="49"/>
    <w:bookmarkEnd w:id="50"/>
  </w:p>
  <w:p>
    <w:pPr>
      <w:pStyle w:val="BodyText"/>
      <w:spacing w:lineRule="auto" w:line="5"/>
      <w:rPr/>
    </w:pPr>
    <w:r>
      <w:rPr/>
    </w:r>
  </w:p>
</w:ftr>
</file>

<file path=word/footer1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0490" w:type="dxa"/>
      <w:jc w:val="left"/>
      <w:tblInd w:w="-459" w:type="dxa"/>
      <w:tblLayout w:type="fixed"/>
      <w:tblCellMar>
        <w:top w:w="0" w:type="dxa"/>
        <w:left w:w="108" w:type="dxa"/>
        <w:bottom w:w="0" w:type="dxa"/>
        <w:right w:w="108" w:type="dxa"/>
      </w:tblCellMar>
    </w:tblPr>
    <w:tblGrid>
      <w:gridCol w:w="3223"/>
      <w:gridCol w:w="4003"/>
      <w:gridCol w:w="3264"/>
    </w:tblGrid>
    <w:tr>
      <w:trPr/>
      <w:tc>
        <w:tcPr>
          <w:tcW w:w="3223" w:type="dxa"/>
          <w:tcBorders/>
          <w:vAlign w:val="center"/>
        </w:tcPr>
        <w:p>
          <w:pPr>
            <w:pStyle w:val="Footer"/>
            <w:widowControl w:val="false"/>
            <w:tabs>
              <w:tab w:val="clear" w:pos="4536"/>
              <w:tab w:val="clear" w:pos="9072"/>
              <w:tab w:val="center" w:pos="2976" w:leader="none"/>
            </w:tabs>
            <w:suppressAutoHyphens w:val="true"/>
            <w:spacing w:before="0" w:after="0"/>
            <w:ind w:hanging="0" w:left="0" w:right="35"/>
            <w:jc w:val="center"/>
            <w:rPr>
              <w:rFonts w:cs="Times New Roman"/>
              <w:b/>
              <w:bCs w:val="false"/>
              <w:kern w:val="0"/>
              <w:sz w:val="18"/>
              <w:szCs w:val="18"/>
              <w:lang w:val="fr-FR" w:bidi="ar-SA"/>
            </w:rPr>
          </w:pPr>
          <w:bookmarkStart w:id="51" w:name="_Hlk536026213522222"/>
          <w:bookmarkStart w:id="52" w:name="_Hlk536026214522222"/>
          <w:bookmarkEnd w:id="51"/>
          <w:bookmarkEnd w:id="52"/>
          <w:r>
            <w:rPr>
              <w:rFonts w:cs="Times New Roman"/>
              <w:b/>
              <w:bCs w:val="false"/>
              <w:kern w:val="0"/>
              <w:sz w:val="18"/>
              <w:szCs w:val="18"/>
              <w:lang w:val="fr-FR" w:bidi="ar-SA"/>
            </w:rPr>
            <w:t>Direction Interdépartementales des Routes</w:t>
          </w:r>
        </w:p>
        <w:p>
          <w:pPr>
            <w:pStyle w:val="Footer"/>
            <w:widowControl w:val="false"/>
            <w:tabs>
              <w:tab w:val="clear" w:pos="4536"/>
              <w:tab w:val="clear" w:pos="9072"/>
              <w:tab w:val="center" w:pos="2976" w:leader="none"/>
            </w:tabs>
            <w:suppressAutoHyphens w:val="true"/>
            <w:spacing w:before="0" w:after="0"/>
            <w:ind w:hanging="0" w:left="0" w:right="35"/>
            <w:jc w:val="center"/>
            <w:rPr>
              <w:rFonts w:cs="Times New Roman"/>
              <w:b/>
              <w:bCs w:val="false"/>
              <w:kern w:val="0"/>
              <w:sz w:val="18"/>
              <w:szCs w:val="18"/>
              <w:lang w:val="fr-FR" w:bidi="ar-SA"/>
            </w:rPr>
          </w:pPr>
          <w:r>
            <w:rPr>
              <w:rFonts w:cs="Times New Roman"/>
              <w:b/>
              <w:bCs w:val="false"/>
              <w:kern w:val="0"/>
              <w:sz w:val="18"/>
              <w:szCs w:val="18"/>
              <w:lang w:val="fr-FR" w:bidi="ar-SA"/>
            </w:rPr>
            <w:t>Centre -Ouest</w:t>
          </w:r>
        </w:p>
      </w:tc>
      <w:tc>
        <w:tcPr>
          <w:tcW w:w="4003" w:type="dxa"/>
          <w:tcBorders/>
          <w:vAlign w:val="center"/>
        </w:tcPr>
        <w:p>
          <w:pPr>
            <w:pStyle w:val="Footer"/>
            <w:widowControl w:val="false"/>
            <w:suppressAutoHyphens w:val="true"/>
            <w:spacing w:before="0" w:after="0"/>
            <w:ind w:hanging="0" w:left="0" w:right="-251"/>
            <w:jc w:val="center"/>
            <w:rPr/>
          </w:pPr>
          <w:r>
            <w:rPr/>
            <w:drawing>
              <wp:inline distT="0" distB="0" distL="0" distR="0">
                <wp:extent cx="405765" cy="539750"/>
                <wp:effectExtent l="0" t="0" r="0" b="0"/>
                <wp:docPr id="29" name="Image16" descr="Modèle de communiqué de pres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Image16" descr="Modèle de communiqué de presse"/>
                        <pic:cNvPicPr>
                          <a:picLocks noChangeAspect="1" noChangeArrowheads="1"/>
                        </pic:cNvPicPr>
                      </pic:nvPicPr>
                      <pic:blipFill>
                        <a:blip r:embed="rId1"/>
                        <a:stretch>
                          <a:fillRect/>
                        </a:stretch>
                      </pic:blipFill>
                      <pic:spPr bwMode="auto">
                        <a:xfrm>
                          <a:off x="0" y="0"/>
                          <a:ext cx="405765" cy="539750"/>
                        </a:xfrm>
                        <a:prstGeom prst="rect">
                          <a:avLst/>
                        </a:prstGeom>
                        <a:noFill/>
                      </pic:spPr>
                    </pic:pic>
                  </a:graphicData>
                </a:graphic>
              </wp:inline>
            </w:drawing>
          </w:r>
        </w:p>
      </w:tc>
      <w:tc>
        <w:tcPr>
          <w:tcW w:w="3264" w:type="dxa"/>
          <w:tcBorders/>
          <w:vAlign w:val="center"/>
        </w:tcPr>
        <w:p>
          <w:pPr>
            <w:pStyle w:val="Footer"/>
            <w:widowControl w:val="false"/>
            <w:suppressAutoHyphens w:val="true"/>
            <w:spacing w:before="240" w:after="0"/>
            <w:ind w:firstLine="639" w:left="0" w:right="0"/>
            <w:jc w:val="center"/>
            <w:rPr>
              <w:rFonts w:cs="Times New Roman"/>
              <w:b/>
              <w:bCs w:val="false"/>
              <w:kern w:val="0"/>
              <w:sz w:val="18"/>
              <w:szCs w:val="18"/>
              <w:lang w:val="fr-FR" w:bidi="ar-SA"/>
            </w:rPr>
          </w:pPr>
          <w:r>
            <w:rPr>
              <w:rFonts w:cs="Times New Roman"/>
              <w:b/>
              <w:bCs w:val="false"/>
              <w:kern w:val="0"/>
              <w:sz w:val="18"/>
              <w:szCs w:val="18"/>
              <w:lang w:val="fr-FR" w:bidi="ar-SA"/>
            </w:rPr>
            <w:t>B.P.U</w:t>
          </w:r>
        </w:p>
        <w:p>
          <w:pPr>
            <w:pStyle w:val="Footer"/>
            <w:widowControl w:val="false"/>
            <w:suppressAutoHyphens w:val="true"/>
            <w:spacing w:before="0" w:after="0"/>
            <w:ind w:hanging="0" w:left="602" w:right="995"/>
            <w:jc w:val="right"/>
            <w:rPr>
              <w:rFonts w:cs="Times New Roman"/>
              <w:b/>
              <w:bCs w:val="false"/>
              <w:kern w:val="0"/>
              <w:sz w:val="18"/>
              <w:szCs w:val="18"/>
              <w:lang w:val="fr-FR" w:bidi="ar-SA"/>
            </w:rPr>
          </w:pPr>
          <w:r>
            <w:rPr>
              <w:rFonts w:cs="Times New Roman"/>
              <w:b/>
              <w:bCs w:val="false"/>
              <w:kern w:val="0"/>
              <w:sz w:val="18"/>
              <w:szCs w:val="18"/>
              <w:lang w:val="fr-FR" w:bidi="ar-SA"/>
            </w:rPr>
            <w:t>Ind. B</w:t>
          </w:r>
        </w:p>
        <w:p>
          <w:pPr>
            <w:pStyle w:val="Footer"/>
            <w:widowControl w:val="false"/>
            <w:suppressAutoHyphens w:val="true"/>
            <w:spacing w:before="0" w:after="0"/>
            <w:ind w:hanging="0" w:left="602" w:right="745"/>
            <w:jc w:val="right"/>
            <w:rPr>
              <w:rFonts w:cs="Times New Roman"/>
              <w:b/>
              <w:bCs w:val="false"/>
              <w:kern w:val="0"/>
              <w:sz w:val="18"/>
              <w:szCs w:val="18"/>
              <w:lang w:val="fr-FR" w:bidi="ar-SA"/>
            </w:rPr>
          </w:pPr>
          <w:r>
            <w:rPr>
              <w:rFonts w:cs="Times New Roman"/>
              <w:b/>
              <w:bCs w:val="false"/>
              <w:kern w:val="0"/>
              <w:sz w:val="18"/>
              <w:szCs w:val="18"/>
              <w:lang w:val="fr-FR" w:bidi="ar-SA"/>
            </w:rPr>
            <w:t>Mars 2026</w:t>
          </w:r>
        </w:p>
      </w:tc>
    </w:tr>
  </w:tbl>
  <w:p>
    <w:pPr>
      <w:pStyle w:val="Footer"/>
      <w:rPr/>
    </w:pPr>
    <w:r>
      <w:rPr/>
      <mc:AlternateContent>
        <mc:Choice Requires="wps">
          <w:drawing>
            <wp:anchor distT="0" distB="0" distL="0" distR="0" simplePos="0" relativeHeight="58" behindDoc="1" locked="0" layoutInCell="0" allowOverlap="1">
              <wp:simplePos x="0" y="0"/>
              <wp:positionH relativeFrom="rightMargin">
                <wp:posOffset>205740</wp:posOffset>
              </wp:positionH>
              <wp:positionV relativeFrom="page">
                <wp:posOffset>10008870</wp:posOffset>
              </wp:positionV>
              <wp:extent cx="1262380" cy="1231900"/>
              <wp:effectExtent l="0" t="635" r="635" b="635"/>
              <wp:wrapNone/>
              <wp:docPr id="30" name="Ellipse 7"/>
              <a:graphic xmlns:a="http://schemas.openxmlformats.org/drawingml/2006/main">
                <a:graphicData uri="http://schemas.microsoft.com/office/word/2010/wordprocessingShape">
                  <wps:wsp>
                    <wps:cNvSpPr/>
                    <wps:spPr>
                      <a:xfrm>
                        <a:off x="0" y="0"/>
                        <a:ext cx="1262520" cy="1231920"/>
                      </a:xfrm>
                      <a:prstGeom prst="ellipse">
                        <a:avLst/>
                      </a:prstGeom>
                      <a:solidFill>
                        <a:srgbClr val="BFBFBF"/>
                      </a:solidFill>
                      <a:ln w="0">
                        <a:noFill/>
                      </a:ln>
                    </wps:spPr>
                    <wps:style>
                      <a:lnRef idx="0"/>
                      <a:fillRef idx="0"/>
                      <a:effectRef idx="0"/>
                      <a:fontRef idx="minor"/>
                    </wps:style>
                    <wps:txbx>
                      <w:txbxContent>
                        <w:p>
                          <w:pPr>
                            <w:pStyle w:val="Contenudecadre"/>
                            <w:spacing w:before="240" w:after="0"/>
                            <w:jc w:val="left"/>
                            <w:rPr/>
                          </w:pPr>
                          <w:r>
                            <w:rPr>
                              <w:szCs w:val="22"/>
                            </w:rPr>
                            <w:t xml:space="preserve">  </w:t>
                          </w:r>
                          <w:r>
                            <w:rPr>
                              <w:b/>
                              <w:color w:val="FFFFFF"/>
                              <w:sz w:val="28"/>
                              <w:szCs w:val="22"/>
                            </w:rPr>
                            <w:fldChar w:fldCharType="begin"/>
                          </w:r>
                          <w:r>
                            <w:rPr>
                              <w:b/>
                              <w:color w:val="FFFFFF"/>
                              <w:sz w:val="28"/>
                              <w:szCs w:val="22"/>
                            </w:rPr>
                            <w:instrText xml:space="preserve"> PAGE </w:instrText>
                          </w:r>
                          <w:r>
                            <w:rPr>
                              <w:b/>
                              <w:color w:val="FFFFFF"/>
                              <w:sz w:val="28"/>
                              <w:szCs w:val="22"/>
                            </w:rPr>
                            <w:fldChar w:fldCharType="separate"/>
                          </w:r>
                          <w:r>
                            <w:rPr>
                              <w:b/>
                              <w:color w:val="FFFFFF"/>
                              <w:sz w:val="28"/>
                              <w:szCs w:val="22"/>
                            </w:rPr>
                            <w:t>27</w:t>
                          </w:r>
                          <w:r>
                            <w:rPr>
                              <w:b/>
                              <w:color w:val="FFFFFF"/>
                              <w:sz w:val="28"/>
                              <w:szCs w:val="22"/>
                            </w:rPr>
                            <w:fldChar w:fldCharType="end"/>
                          </w:r>
                        </w:p>
                      </w:txbxContent>
                    </wps:txbx>
                    <wps:bodyPr lIns="0" tIns="0" rIns="0" bIns="0" anchor="t">
                      <a:noAutofit/>
                    </wps:bodyPr>
                  </wps:wsp>
                </a:graphicData>
              </a:graphic>
            </wp:anchor>
          </w:drawing>
        </mc:Choice>
        <mc:Fallback>
          <w:pict>
            <v:oval id="shape_0" fillcolor="#bfbfbf" stroked="f" o:allowincell="f" style="position:absolute;margin-left:16.2pt;margin-top:788.1pt;width:99.35pt;height:96.95pt;mso-wrap-style:square;v-text-anchor:top;mso-position-horizontal-relative:page;mso-position-vertical-relative:page">
              <v:fill o:detectmouseclick="t" type="solid" color2="#404040"/>
              <v:stroke color="#3465a4" joinstyle="round" endcap="flat"/>
              <v:textbox>
                <w:txbxContent>
                  <w:p>
                    <w:pPr>
                      <w:pStyle w:val="Contenudecadre"/>
                      <w:spacing w:before="240" w:after="0"/>
                      <w:jc w:val="left"/>
                      <w:rPr/>
                    </w:pPr>
                    <w:r>
                      <w:rPr>
                        <w:szCs w:val="22"/>
                      </w:rPr>
                      <w:t xml:space="preserve">  </w:t>
                    </w:r>
                    <w:r>
                      <w:rPr>
                        <w:b/>
                        <w:color w:val="FFFFFF"/>
                        <w:sz w:val="28"/>
                        <w:szCs w:val="22"/>
                      </w:rPr>
                      <w:fldChar w:fldCharType="begin"/>
                    </w:r>
                    <w:r>
                      <w:rPr>
                        <w:b/>
                        <w:color w:val="FFFFFF"/>
                        <w:sz w:val="28"/>
                        <w:szCs w:val="22"/>
                      </w:rPr>
                      <w:instrText xml:space="preserve"> PAGE </w:instrText>
                    </w:r>
                    <w:r>
                      <w:rPr>
                        <w:b/>
                        <w:color w:val="FFFFFF"/>
                        <w:sz w:val="28"/>
                        <w:szCs w:val="22"/>
                      </w:rPr>
                      <w:fldChar w:fldCharType="separate"/>
                    </w:r>
                    <w:r>
                      <w:rPr>
                        <w:b/>
                        <w:color w:val="FFFFFF"/>
                        <w:sz w:val="28"/>
                        <w:szCs w:val="22"/>
                      </w:rPr>
                      <w:t>27</w:t>
                    </w:r>
                    <w:r>
                      <w:rPr>
                        <w:b/>
                        <w:color w:val="FFFFFF"/>
                        <w:sz w:val="28"/>
                        <w:szCs w:val="22"/>
                      </w:rPr>
                      <w:fldChar w:fldCharType="end"/>
                    </w:r>
                  </w:p>
                </w:txbxContent>
              </v:textbox>
              <w10:wrap type="none"/>
            </v:oval>
          </w:pict>
        </mc:Fallback>
      </mc:AlternateContent>
    </w:r>
    <w:bookmarkStart w:id="53" w:name="_Hlk5360262141422222"/>
    <w:bookmarkStart w:id="54" w:name="_Hlk5360262131422222"/>
    <w:bookmarkEnd w:id="53"/>
    <w:bookmarkEnd w:id="54"/>
  </w:p>
  <w:p>
    <w:pPr>
      <w:pStyle w:val="BodyText"/>
      <w:spacing w:lineRule="auto" w:line="5"/>
      <w:rPr/>
    </w:pPr>
    <w:r>
      <w:rPr/>
    </w:r>
  </w:p>
</w:ftr>
</file>

<file path=word/footer1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0490" w:type="dxa"/>
      <w:jc w:val="left"/>
      <w:tblInd w:w="-459" w:type="dxa"/>
      <w:tblLayout w:type="fixed"/>
      <w:tblCellMar>
        <w:top w:w="0" w:type="dxa"/>
        <w:left w:w="108" w:type="dxa"/>
        <w:bottom w:w="0" w:type="dxa"/>
        <w:right w:w="108" w:type="dxa"/>
      </w:tblCellMar>
    </w:tblPr>
    <w:tblGrid>
      <w:gridCol w:w="3223"/>
      <w:gridCol w:w="4003"/>
      <w:gridCol w:w="3264"/>
    </w:tblGrid>
    <w:tr>
      <w:trPr/>
      <w:tc>
        <w:tcPr>
          <w:tcW w:w="3223" w:type="dxa"/>
          <w:tcBorders/>
          <w:vAlign w:val="center"/>
        </w:tcPr>
        <w:p>
          <w:pPr>
            <w:pStyle w:val="Footer"/>
            <w:widowControl w:val="false"/>
            <w:tabs>
              <w:tab w:val="clear" w:pos="4536"/>
              <w:tab w:val="clear" w:pos="9072"/>
              <w:tab w:val="center" w:pos="2976" w:leader="none"/>
            </w:tabs>
            <w:suppressAutoHyphens w:val="true"/>
            <w:spacing w:before="0" w:after="0"/>
            <w:ind w:hanging="0" w:left="0" w:right="35"/>
            <w:jc w:val="center"/>
            <w:rPr>
              <w:rFonts w:cs="Times New Roman"/>
              <w:b/>
              <w:bCs w:val="false"/>
              <w:kern w:val="0"/>
              <w:sz w:val="18"/>
              <w:szCs w:val="18"/>
              <w:lang w:val="fr-FR" w:bidi="ar-SA"/>
            </w:rPr>
          </w:pPr>
          <w:bookmarkStart w:id="57" w:name="_Hlk5360262145222222"/>
          <w:bookmarkStart w:id="58" w:name="_Hlk5360262135222222"/>
          <w:bookmarkEnd w:id="57"/>
          <w:bookmarkEnd w:id="58"/>
          <w:r>
            <w:rPr>
              <w:rFonts w:cs="Times New Roman"/>
              <w:b/>
              <w:bCs w:val="false"/>
              <w:kern w:val="0"/>
              <w:sz w:val="18"/>
              <w:szCs w:val="18"/>
              <w:lang w:val="fr-FR" w:bidi="ar-SA"/>
            </w:rPr>
            <w:t>Direction Interdépartementales des Routes</w:t>
          </w:r>
        </w:p>
        <w:p>
          <w:pPr>
            <w:pStyle w:val="Footer"/>
            <w:widowControl w:val="false"/>
            <w:tabs>
              <w:tab w:val="clear" w:pos="4536"/>
              <w:tab w:val="clear" w:pos="9072"/>
              <w:tab w:val="center" w:pos="2976" w:leader="none"/>
            </w:tabs>
            <w:suppressAutoHyphens w:val="true"/>
            <w:spacing w:before="0" w:after="0"/>
            <w:ind w:hanging="0" w:left="0" w:right="35"/>
            <w:jc w:val="center"/>
            <w:rPr>
              <w:rFonts w:cs="Times New Roman"/>
              <w:b/>
              <w:bCs w:val="false"/>
              <w:kern w:val="0"/>
              <w:sz w:val="18"/>
              <w:szCs w:val="18"/>
              <w:lang w:val="fr-FR" w:bidi="ar-SA"/>
            </w:rPr>
          </w:pPr>
          <w:r>
            <w:rPr>
              <w:rFonts w:cs="Times New Roman"/>
              <w:b/>
              <w:bCs w:val="false"/>
              <w:kern w:val="0"/>
              <w:sz w:val="18"/>
              <w:szCs w:val="18"/>
              <w:lang w:val="fr-FR" w:bidi="ar-SA"/>
            </w:rPr>
            <w:t>Centre -Ouest</w:t>
          </w:r>
        </w:p>
      </w:tc>
      <w:tc>
        <w:tcPr>
          <w:tcW w:w="4003" w:type="dxa"/>
          <w:tcBorders/>
          <w:vAlign w:val="center"/>
        </w:tcPr>
        <w:p>
          <w:pPr>
            <w:pStyle w:val="Footer"/>
            <w:widowControl w:val="false"/>
            <w:suppressAutoHyphens w:val="true"/>
            <w:spacing w:before="0" w:after="0"/>
            <w:ind w:hanging="0" w:left="0" w:right="-251"/>
            <w:jc w:val="center"/>
            <w:rPr/>
          </w:pPr>
          <w:r>
            <w:rPr/>
            <w:drawing>
              <wp:inline distT="0" distB="0" distL="0" distR="0">
                <wp:extent cx="405765" cy="539750"/>
                <wp:effectExtent l="0" t="0" r="0" b="0"/>
                <wp:docPr id="32" name="Image18" descr="Modèle de communiqué de pres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Image18" descr="Modèle de communiqué de presse"/>
                        <pic:cNvPicPr>
                          <a:picLocks noChangeAspect="1" noChangeArrowheads="1"/>
                        </pic:cNvPicPr>
                      </pic:nvPicPr>
                      <pic:blipFill>
                        <a:blip r:embed="rId1"/>
                        <a:stretch>
                          <a:fillRect/>
                        </a:stretch>
                      </pic:blipFill>
                      <pic:spPr bwMode="auto">
                        <a:xfrm>
                          <a:off x="0" y="0"/>
                          <a:ext cx="405765" cy="539750"/>
                        </a:xfrm>
                        <a:prstGeom prst="rect">
                          <a:avLst/>
                        </a:prstGeom>
                        <a:noFill/>
                      </pic:spPr>
                    </pic:pic>
                  </a:graphicData>
                </a:graphic>
              </wp:inline>
            </w:drawing>
          </w:r>
        </w:p>
      </w:tc>
      <w:tc>
        <w:tcPr>
          <w:tcW w:w="3264" w:type="dxa"/>
          <w:tcBorders/>
          <w:vAlign w:val="center"/>
        </w:tcPr>
        <w:p>
          <w:pPr>
            <w:pStyle w:val="Footer"/>
            <w:widowControl w:val="false"/>
            <w:suppressAutoHyphens w:val="true"/>
            <w:spacing w:before="240" w:after="0"/>
            <w:ind w:firstLine="639" w:left="0" w:right="0"/>
            <w:jc w:val="center"/>
            <w:rPr>
              <w:rFonts w:cs="Times New Roman"/>
              <w:b/>
              <w:bCs w:val="false"/>
              <w:kern w:val="0"/>
              <w:sz w:val="18"/>
              <w:szCs w:val="18"/>
              <w:lang w:val="fr-FR" w:bidi="ar-SA"/>
            </w:rPr>
          </w:pPr>
          <w:r>
            <w:rPr>
              <w:rFonts w:cs="Times New Roman"/>
              <w:b/>
              <w:bCs w:val="false"/>
              <w:kern w:val="0"/>
              <w:sz w:val="18"/>
              <w:szCs w:val="18"/>
              <w:lang w:val="fr-FR" w:bidi="ar-SA"/>
            </w:rPr>
            <w:t>B.P.U</w:t>
          </w:r>
        </w:p>
        <w:p>
          <w:pPr>
            <w:pStyle w:val="Footer"/>
            <w:widowControl w:val="false"/>
            <w:suppressAutoHyphens w:val="true"/>
            <w:spacing w:before="0" w:after="0"/>
            <w:ind w:hanging="0" w:left="602" w:right="995"/>
            <w:jc w:val="right"/>
            <w:rPr>
              <w:rFonts w:cs="Times New Roman"/>
              <w:b/>
              <w:bCs w:val="false"/>
              <w:kern w:val="0"/>
              <w:sz w:val="18"/>
              <w:szCs w:val="18"/>
              <w:lang w:val="fr-FR" w:bidi="ar-SA"/>
            </w:rPr>
          </w:pPr>
          <w:r>
            <w:rPr>
              <w:rFonts w:cs="Times New Roman"/>
              <w:b/>
              <w:bCs w:val="false"/>
              <w:kern w:val="0"/>
              <w:sz w:val="18"/>
              <w:szCs w:val="18"/>
              <w:lang w:val="fr-FR" w:bidi="ar-SA"/>
            </w:rPr>
            <w:t>Ind. B</w:t>
          </w:r>
        </w:p>
        <w:p>
          <w:pPr>
            <w:pStyle w:val="Footer"/>
            <w:widowControl w:val="false"/>
            <w:suppressAutoHyphens w:val="true"/>
            <w:spacing w:before="0" w:after="0"/>
            <w:ind w:hanging="0" w:left="602" w:right="745"/>
            <w:jc w:val="right"/>
            <w:rPr>
              <w:rFonts w:cs="Times New Roman"/>
              <w:b/>
              <w:bCs w:val="false"/>
              <w:kern w:val="0"/>
              <w:sz w:val="18"/>
              <w:szCs w:val="18"/>
              <w:lang w:val="fr-FR" w:bidi="ar-SA"/>
            </w:rPr>
          </w:pPr>
          <w:r>
            <w:rPr>
              <w:rFonts w:cs="Times New Roman"/>
              <w:b/>
              <w:bCs w:val="false"/>
              <w:kern w:val="0"/>
              <w:sz w:val="18"/>
              <w:szCs w:val="18"/>
              <w:lang w:val="fr-FR" w:bidi="ar-SA"/>
            </w:rPr>
            <w:t>Mars 2026</w:t>
          </w:r>
        </w:p>
      </w:tc>
    </w:tr>
  </w:tbl>
  <w:p>
    <w:pPr>
      <w:pStyle w:val="Footer"/>
      <w:rPr/>
    </w:pPr>
    <w:r>
      <w:rPr/>
      <mc:AlternateContent>
        <mc:Choice Requires="wps">
          <w:drawing>
            <wp:anchor distT="0" distB="0" distL="0" distR="0" simplePos="0" relativeHeight="77" behindDoc="1" locked="0" layoutInCell="0" allowOverlap="1">
              <wp:simplePos x="0" y="0"/>
              <wp:positionH relativeFrom="rightMargin">
                <wp:posOffset>205740</wp:posOffset>
              </wp:positionH>
              <wp:positionV relativeFrom="page">
                <wp:posOffset>10008870</wp:posOffset>
              </wp:positionV>
              <wp:extent cx="1262380" cy="1231900"/>
              <wp:effectExtent l="0" t="635" r="635" b="635"/>
              <wp:wrapNone/>
              <wp:docPr id="33" name="Ellipse 8"/>
              <a:graphic xmlns:a="http://schemas.openxmlformats.org/drawingml/2006/main">
                <a:graphicData uri="http://schemas.microsoft.com/office/word/2010/wordprocessingShape">
                  <wps:wsp>
                    <wps:cNvSpPr/>
                    <wps:spPr>
                      <a:xfrm>
                        <a:off x="0" y="0"/>
                        <a:ext cx="1262520" cy="1231920"/>
                      </a:xfrm>
                      <a:prstGeom prst="ellipse">
                        <a:avLst/>
                      </a:prstGeom>
                      <a:solidFill>
                        <a:srgbClr val="BFBFBF"/>
                      </a:solidFill>
                      <a:ln w="0">
                        <a:noFill/>
                      </a:ln>
                    </wps:spPr>
                    <wps:style>
                      <a:lnRef idx="0"/>
                      <a:fillRef idx="0"/>
                      <a:effectRef idx="0"/>
                      <a:fontRef idx="minor"/>
                    </wps:style>
                    <wps:txbx>
                      <w:txbxContent>
                        <w:p>
                          <w:pPr>
                            <w:pStyle w:val="Contenudecadre"/>
                            <w:spacing w:before="240" w:after="0"/>
                            <w:jc w:val="left"/>
                            <w:rPr/>
                          </w:pPr>
                          <w:r>
                            <w:rPr>
                              <w:szCs w:val="22"/>
                            </w:rPr>
                            <w:t xml:space="preserve">  </w:t>
                          </w:r>
                          <w:r>
                            <w:rPr>
                              <w:b/>
                              <w:color w:val="FFFFFF"/>
                              <w:sz w:val="28"/>
                              <w:szCs w:val="22"/>
                            </w:rPr>
                            <w:fldChar w:fldCharType="begin"/>
                          </w:r>
                          <w:r>
                            <w:rPr>
                              <w:b/>
                              <w:color w:val="FFFFFF"/>
                              <w:sz w:val="28"/>
                              <w:szCs w:val="22"/>
                            </w:rPr>
                            <w:instrText xml:space="preserve"> PAGE </w:instrText>
                          </w:r>
                          <w:r>
                            <w:rPr>
                              <w:b/>
                              <w:color w:val="FFFFFF"/>
                              <w:sz w:val="28"/>
                              <w:szCs w:val="22"/>
                            </w:rPr>
                            <w:fldChar w:fldCharType="separate"/>
                          </w:r>
                          <w:r>
                            <w:rPr>
                              <w:b/>
                              <w:color w:val="FFFFFF"/>
                              <w:sz w:val="28"/>
                              <w:szCs w:val="22"/>
                            </w:rPr>
                            <w:t>28</w:t>
                          </w:r>
                          <w:r>
                            <w:rPr>
                              <w:b/>
                              <w:color w:val="FFFFFF"/>
                              <w:sz w:val="28"/>
                              <w:szCs w:val="22"/>
                            </w:rPr>
                            <w:fldChar w:fldCharType="end"/>
                          </w:r>
                        </w:p>
                      </w:txbxContent>
                    </wps:txbx>
                    <wps:bodyPr lIns="0" tIns="0" rIns="0" bIns="0" anchor="t">
                      <a:noAutofit/>
                    </wps:bodyPr>
                  </wps:wsp>
                </a:graphicData>
              </a:graphic>
            </wp:anchor>
          </w:drawing>
        </mc:Choice>
        <mc:Fallback>
          <w:pict>
            <v:oval id="shape_0" fillcolor="#bfbfbf" stroked="f" o:allowincell="f" style="position:absolute;margin-left:16.2pt;margin-top:788.1pt;width:99.35pt;height:96.95pt;mso-wrap-style:square;v-text-anchor:top;mso-position-horizontal-relative:page;mso-position-vertical-relative:page">
              <v:fill o:detectmouseclick="t" type="solid" color2="#404040"/>
              <v:stroke color="#3465a4" joinstyle="round" endcap="flat"/>
              <v:textbox>
                <w:txbxContent>
                  <w:p>
                    <w:pPr>
                      <w:pStyle w:val="Contenudecadre"/>
                      <w:spacing w:before="240" w:after="0"/>
                      <w:jc w:val="left"/>
                      <w:rPr/>
                    </w:pPr>
                    <w:r>
                      <w:rPr>
                        <w:szCs w:val="22"/>
                      </w:rPr>
                      <w:t xml:space="preserve">  </w:t>
                    </w:r>
                    <w:r>
                      <w:rPr>
                        <w:b/>
                        <w:color w:val="FFFFFF"/>
                        <w:sz w:val="28"/>
                        <w:szCs w:val="22"/>
                      </w:rPr>
                      <w:fldChar w:fldCharType="begin"/>
                    </w:r>
                    <w:r>
                      <w:rPr>
                        <w:b/>
                        <w:color w:val="FFFFFF"/>
                        <w:sz w:val="28"/>
                        <w:szCs w:val="22"/>
                      </w:rPr>
                      <w:instrText xml:space="preserve"> PAGE </w:instrText>
                    </w:r>
                    <w:r>
                      <w:rPr>
                        <w:b/>
                        <w:color w:val="FFFFFF"/>
                        <w:sz w:val="28"/>
                        <w:szCs w:val="22"/>
                      </w:rPr>
                      <w:fldChar w:fldCharType="separate"/>
                    </w:r>
                    <w:r>
                      <w:rPr>
                        <w:b/>
                        <w:color w:val="FFFFFF"/>
                        <w:sz w:val="28"/>
                        <w:szCs w:val="22"/>
                      </w:rPr>
                      <w:t>28</w:t>
                    </w:r>
                    <w:r>
                      <w:rPr>
                        <w:b/>
                        <w:color w:val="FFFFFF"/>
                        <w:sz w:val="28"/>
                        <w:szCs w:val="22"/>
                      </w:rPr>
                      <w:fldChar w:fldCharType="end"/>
                    </w:r>
                  </w:p>
                </w:txbxContent>
              </v:textbox>
              <w10:wrap type="none"/>
            </v:oval>
          </w:pict>
        </mc:Fallback>
      </mc:AlternateContent>
    </w:r>
    <w:bookmarkStart w:id="59" w:name="_Hlk53602621314222222"/>
    <w:bookmarkStart w:id="60" w:name="_Hlk53602621414222222"/>
    <w:bookmarkEnd w:id="59"/>
    <w:bookmarkEnd w:id="60"/>
  </w:p>
  <w:p>
    <w:pPr>
      <w:pStyle w:val="BodyText"/>
      <w:spacing w:lineRule="auto" w:line="5"/>
      <w:rPr/>
    </w:pPr>
    <w:r>
      <w:rPr/>
    </w:r>
  </w:p>
</w:ftr>
</file>

<file path=word/footer1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0490" w:type="dxa"/>
      <w:jc w:val="left"/>
      <w:tblInd w:w="-459" w:type="dxa"/>
      <w:tblLayout w:type="fixed"/>
      <w:tblCellMar>
        <w:top w:w="0" w:type="dxa"/>
        <w:left w:w="108" w:type="dxa"/>
        <w:bottom w:w="0" w:type="dxa"/>
        <w:right w:w="108" w:type="dxa"/>
      </w:tblCellMar>
    </w:tblPr>
    <w:tblGrid>
      <w:gridCol w:w="3223"/>
      <w:gridCol w:w="4003"/>
      <w:gridCol w:w="3264"/>
    </w:tblGrid>
    <w:tr>
      <w:trPr/>
      <w:tc>
        <w:tcPr>
          <w:tcW w:w="3223" w:type="dxa"/>
          <w:tcBorders/>
          <w:vAlign w:val="center"/>
        </w:tcPr>
        <w:p>
          <w:pPr>
            <w:pStyle w:val="Footer"/>
            <w:widowControl w:val="false"/>
            <w:tabs>
              <w:tab w:val="clear" w:pos="4536"/>
              <w:tab w:val="clear" w:pos="9072"/>
              <w:tab w:val="center" w:pos="2976" w:leader="none"/>
            </w:tabs>
            <w:suppressAutoHyphens w:val="true"/>
            <w:spacing w:before="0" w:after="0"/>
            <w:ind w:hanging="0" w:left="0" w:right="35"/>
            <w:jc w:val="center"/>
            <w:rPr>
              <w:rFonts w:cs="Times New Roman"/>
              <w:b/>
              <w:bCs w:val="false"/>
              <w:kern w:val="0"/>
              <w:sz w:val="18"/>
              <w:szCs w:val="18"/>
              <w:lang w:val="fr-FR" w:bidi="ar-SA"/>
            </w:rPr>
          </w:pPr>
          <w:bookmarkStart w:id="61" w:name="_Hlk53602621352222222"/>
          <w:bookmarkStart w:id="62" w:name="_Hlk53602621452222222"/>
          <w:bookmarkEnd w:id="61"/>
          <w:bookmarkEnd w:id="62"/>
          <w:r>
            <w:rPr>
              <w:rFonts w:cs="Times New Roman"/>
              <w:b/>
              <w:bCs w:val="false"/>
              <w:kern w:val="0"/>
              <w:sz w:val="18"/>
              <w:szCs w:val="18"/>
              <w:lang w:val="fr-FR" w:bidi="ar-SA"/>
            </w:rPr>
            <w:t>Direction Interdépartementales des Routes</w:t>
          </w:r>
        </w:p>
        <w:p>
          <w:pPr>
            <w:pStyle w:val="Footer"/>
            <w:widowControl w:val="false"/>
            <w:tabs>
              <w:tab w:val="clear" w:pos="4536"/>
              <w:tab w:val="clear" w:pos="9072"/>
              <w:tab w:val="center" w:pos="2976" w:leader="none"/>
            </w:tabs>
            <w:suppressAutoHyphens w:val="true"/>
            <w:spacing w:before="0" w:after="0"/>
            <w:ind w:hanging="0" w:left="0" w:right="35"/>
            <w:jc w:val="center"/>
            <w:rPr>
              <w:rFonts w:cs="Times New Roman"/>
              <w:b/>
              <w:bCs w:val="false"/>
              <w:kern w:val="0"/>
              <w:sz w:val="18"/>
              <w:szCs w:val="18"/>
              <w:lang w:val="fr-FR" w:bidi="ar-SA"/>
            </w:rPr>
          </w:pPr>
          <w:r>
            <w:rPr>
              <w:rFonts w:cs="Times New Roman"/>
              <w:b/>
              <w:bCs w:val="false"/>
              <w:kern w:val="0"/>
              <w:sz w:val="18"/>
              <w:szCs w:val="18"/>
              <w:lang w:val="fr-FR" w:bidi="ar-SA"/>
            </w:rPr>
            <w:t>Centre -Ouest</w:t>
          </w:r>
        </w:p>
      </w:tc>
      <w:tc>
        <w:tcPr>
          <w:tcW w:w="4003" w:type="dxa"/>
          <w:tcBorders/>
          <w:vAlign w:val="center"/>
        </w:tcPr>
        <w:p>
          <w:pPr>
            <w:pStyle w:val="Footer"/>
            <w:widowControl w:val="false"/>
            <w:suppressAutoHyphens w:val="true"/>
            <w:spacing w:before="0" w:after="0"/>
            <w:ind w:hanging="0" w:left="0" w:right="-251"/>
            <w:jc w:val="center"/>
            <w:rPr/>
          </w:pPr>
          <w:r>
            <w:rPr/>
            <w:drawing>
              <wp:inline distT="0" distB="0" distL="0" distR="0">
                <wp:extent cx="405765" cy="539750"/>
                <wp:effectExtent l="0" t="0" r="0" b="0"/>
                <wp:docPr id="35" name="Image20" descr="Modèle de communiqué de pres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Image20" descr="Modèle de communiqué de presse"/>
                        <pic:cNvPicPr>
                          <a:picLocks noChangeAspect="1" noChangeArrowheads="1"/>
                        </pic:cNvPicPr>
                      </pic:nvPicPr>
                      <pic:blipFill>
                        <a:blip r:embed="rId1"/>
                        <a:stretch>
                          <a:fillRect/>
                        </a:stretch>
                      </pic:blipFill>
                      <pic:spPr bwMode="auto">
                        <a:xfrm>
                          <a:off x="0" y="0"/>
                          <a:ext cx="405765" cy="539750"/>
                        </a:xfrm>
                        <a:prstGeom prst="rect">
                          <a:avLst/>
                        </a:prstGeom>
                        <a:noFill/>
                      </pic:spPr>
                    </pic:pic>
                  </a:graphicData>
                </a:graphic>
              </wp:inline>
            </w:drawing>
          </w:r>
        </w:p>
      </w:tc>
      <w:tc>
        <w:tcPr>
          <w:tcW w:w="3264" w:type="dxa"/>
          <w:tcBorders/>
          <w:vAlign w:val="center"/>
        </w:tcPr>
        <w:p>
          <w:pPr>
            <w:pStyle w:val="Footer"/>
            <w:widowControl w:val="false"/>
            <w:suppressAutoHyphens w:val="true"/>
            <w:spacing w:before="240" w:after="0"/>
            <w:ind w:firstLine="639" w:left="0" w:right="0"/>
            <w:jc w:val="center"/>
            <w:rPr>
              <w:rFonts w:cs="Times New Roman"/>
              <w:b/>
              <w:bCs w:val="false"/>
              <w:kern w:val="0"/>
              <w:sz w:val="18"/>
              <w:szCs w:val="18"/>
              <w:lang w:val="fr-FR" w:bidi="ar-SA"/>
            </w:rPr>
          </w:pPr>
          <w:r>
            <w:rPr>
              <w:rFonts w:cs="Times New Roman"/>
              <w:b/>
              <w:bCs w:val="false"/>
              <w:kern w:val="0"/>
              <w:sz w:val="18"/>
              <w:szCs w:val="18"/>
              <w:lang w:val="fr-FR" w:bidi="ar-SA"/>
            </w:rPr>
            <w:t>B.P.U</w:t>
          </w:r>
        </w:p>
        <w:p>
          <w:pPr>
            <w:pStyle w:val="Footer"/>
            <w:widowControl w:val="false"/>
            <w:suppressAutoHyphens w:val="true"/>
            <w:spacing w:before="0" w:after="0"/>
            <w:ind w:hanging="0" w:left="602" w:right="995"/>
            <w:jc w:val="right"/>
            <w:rPr>
              <w:rFonts w:cs="Times New Roman"/>
              <w:b/>
              <w:bCs w:val="false"/>
              <w:kern w:val="0"/>
              <w:sz w:val="18"/>
              <w:szCs w:val="18"/>
              <w:lang w:val="fr-FR" w:bidi="ar-SA"/>
            </w:rPr>
          </w:pPr>
          <w:r>
            <w:rPr>
              <w:rFonts w:cs="Times New Roman"/>
              <w:b/>
              <w:bCs w:val="false"/>
              <w:kern w:val="0"/>
              <w:sz w:val="18"/>
              <w:szCs w:val="18"/>
              <w:lang w:val="fr-FR" w:bidi="ar-SA"/>
            </w:rPr>
            <w:t>Ind. B</w:t>
          </w:r>
        </w:p>
        <w:p>
          <w:pPr>
            <w:pStyle w:val="Footer"/>
            <w:widowControl w:val="false"/>
            <w:suppressAutoHyphens w:val="true"/>
            <w:spacing w:before="0" w:after="0"/>
            <w:ind w:hanging="0" w:left="602" w:right="745"/>
            <w:jc w:val="right"/>
            <w:rPr>
              <w:rFonts w:cs="Times New Roman"/>
              <w:b/>
              <w:bCs w:val="false"/>
              <w:kern w:val="0"/>
              <w:sz w:val="18"/>
              <w:szCs w:val="18"/>
              <w:lang w:val="fr-FR" w:bidi="ar-SA"/>
            </w:rPr>
          </w:pPr>
          <w:r>
            <w:rPr>
              <w:rFonts w:cs="Times New Roman"/>
              <w:b/>
              <w:bCs w:val="false"/>
              <w:kern w:val="0"/>
              <w:sz w:val="18"/>
              <w:szCs w:val="18"/>
              <w:lang w:val="fr-FR" w:bidi="ar-SA"/>
            </w:rPr>
            <w:t>Mars 2026</w:t>
          </w:r>
        </w:p>
      </w:tc>
    </w:tr>
  </w:tbl>
  <w:p>
    <w:pPr>
      <w:pStyle w:val="Footer"/>
      <w:rPr/>
    </w:pPr>
    <w:r>
      <w:rPr/>
      <mc:AlternateContent>
        <mc:Choice Requires="wps">
          <w:drawing>
            <wp:anchor distT="0" distB="0" distL="0" distR="0" simplePos="0" relativeHeight="69" behindDoc="1" locked="0" layoutInCell="0" allowOverlap="1">
              <wp:simplePos x="0" y="0"/>
              <wp:positionH relativeFrom="rightMargin">
                <wp:posOffset>205740</wp:posOffset>
              </wp:positionH>
              <wp:positionV relativeFrom="page">
                <wp:posOffset>10008870</wp:posOffset>
              </wp:positionV>
              <wp:extent cx="1262380" cy="1231900"/>
              <wp:effectExtent l="0" t="635" r="635" b="635"/>
              <wp:wrapNone/>
              <wp:docPr id="36" name="Ellipse 9"/>
              <a:graphic xmlns:a="http://schemas.openxmlformats.org/drawingml/2006/main">
                <a:graphicData uri="http://schemas.microsoft.com/office/word/2010/wordprocessingShape">
                  <wps:wsp>
                    <wps:cNvSpPr/>
                    <wps:spPr>
                      <a:xfrm>
                        <a:off x="0" y="0"/>
                        <a:ext cx="1262520" cy="1231920"/>
                      </a:xfrm>
                      <a:prstGeom prst="ellipse">
                        <a:avLst/>
                      </a:prstGeom>
                      <a:solidFill>
                        <a:srgbClr val="BFBFBF"/>
                      </a:solidFill>
                      <a:ln w="0">
                        <a:noFill/>
                      </a:ln>
                    </wps:spPr>
                    <wps:style>
                      <a:lnRef idx="0"/>
                      <a:fillRef idx="0"/>
                      <a:effectRef idx="0"/>
                      <a:fontRef idx="minor"/>
                    </wps:style>
                    <wps:txbx>
                      <w:txbxContent>
                        <w:p>
                          <w:pPr>
                            <w:pStyle w:val="Contenudecadre"/>
                            <w:spacing w:before="240" w:after="0"/>
                            <w:jc w:val="left"/>
                            <w:rPr/>
                          </w:pPr>
                          <w:r>
                            <w:rPr>
                              <w:szCs w:val="22"/>
                            </w:rPr>
                            <w:t xml:space="preserve">  </w:t>
                          </w:r>
                          <w:r>
                            <w:rPr>
                              <w:b/>
                              <w:color w:val="FFFFFF"/>
                              <w:sz w:val="28"/>
                              <w:szCs w:val="22"/>
                            </w:rPr>
                            <w:fldChar w:fldCharType="begin"/>
                          </w:r>
                          <w:r>
                            <w:rPr>
                              <w:b/>
                              <w:color w:val="FFFFFF"/>
                              <w:sz w:val="28"/>
                              <w:szCs w:val="22"/>
                            </w:rPr>
                            <w:instrText xml:space="preserve"> PAGE </w:instrText>
                          </w:r>
                          <w:r>
                            <w:rPr>
                              <w:b/>
                              <w:color w:val="FFFFFF"/>
                              <w:sz w:val="28"/>
                              <w:szCs w:val="22"/>
                            </w:rPr>
                            <w:fldChar w:fldCharType="separate"/>
                          </w:r>
                          <w:r>
                            <w:rPr>
                              <w:b/>
                              <w:color w:val="FFFFFF"/>
                              <w:sz w:val="28"/>
                              <w:szCs w:val="22"/>
                            </w:rPr>
                            <w:t>29</w:t>
                          </w:r>
                          <w:r>
                            <w:rPr>
                              <w:b/>
                              <w:color w:val="FFFFFF"/>
                              <w:sz w:val="28"/>
                              <w:szCs w:val="22"/>
                            </w:rPr>
                            <w:fldChar w:fldCharType="end"/>
                          </w:r>
                        </w:p>
                      </w:txbxContent>
                    </wps:txbx>
                    <wps:bodyPr lIns="0" tIns="0" rIns="0" bIns="0" anchor="t">
                      <a:noAutofit/>
                    </wps:bodyPr>
                  </wps:wsp>
                </a:graphicData>
              </a:graphic>
            </wp:anchor>
          </w:drawing>
        </mc:Choice>
        <mc:Fallback>
          <w:pict>
            <v:oval id="shape_0" fillcolor="#bfbfbf" stroked="f" o:allowincell="f" style="position:absolute;margin-left:16.2pt;margin-top:788.1pt;width:99.35pt;height:96.95pt;mso-wrap-style:square;v-text-anchor:top;mso-position-horizontal-relative:page;mso-position-vertical-relative:page">
              <v:fill o:detectmouseclick="t" type="solid" color2="#404040"/>
              <v:stroke color="#3465a4" joinstyle="round" endcap="flat"/>
              <v:textbox>
                <w:txbxContent>
                  <w:p>
                    <w:pPr>
                      <w:pStyle w:val="Contenudecadre"/>
                      <w:spacing w:before="240" w:after="0"/>
                      <w:jc w:val="left"/>
                      <w:rPr/>
                    </w:pPr>
                    <w:r>
                      <w:rPr>
                        <w:szCs w:val="22"/>
                      </w:rPr>
                      <w:t xml:space="preserve">  </w:t>
                    </w:r>
                    <w:r>
                      <w:rPr>
                        <w:b/>
                        <w:color w:val="FFFFFF"/>
                        <w:sz w:val="28"/>
                        <w:szCs w:val="22"/>
                      </w:rPr>
                      <w:fldChar w:fldCharType="begin"/>
                    </w:r>
                    <w:r>
                      <w:rPr>
                        <w:b/>
                        <w:color w:val="FFFFFF"/>
                        <w:sz w:val="28"/>
                        <w:szCs w:val="22"/>
                      </w:rPr>
                      <w:instrText xml:space="preserve"> PAGE </w:instrText>
                    </w:r>
                    <w:r>
                      <w:rPr>
                        <w:b/>
                        <w:color w:val="FFFFFF"/>
                        <w:sz w:val="28"/>
                        <w:szCs w:val="22"/>
                      </w:rPr>
                      <w:fldChar w:fldCharType="separate"/>
                    </w:r>
                    <w:r>
                      <w:rPr>
                        <w:b/>
                        <w:color w:val="FFFFFF"/>
                        <w:sz w:val="28"/>
                        <w:szCs w:val="22"/>
                      </w:rPr>
                      <w:t>29</w:t>
                    </w:r>
                    <w:r>
                      <w:rPr>
                        <w:b/>
                        <w:color w:val="FFFFFF"/>
                        <w:sz w:val="28"/>
                        <w:szCs w:val="22"/>
                      </w:rPr>
                      <w:fldChar w:fldCharType="end"/>
                    </w:r>
                  </w:p>
                </w:txbxContent>
              </v:textbox>
              <w10:wrap type="none"/>
            </v:oval>
          </w:pict>
        </mc:Fallback>
      </mc:AlternateContent>
    </w:r>
    <w:bookmarkStart w:id="63" w:name="_Hlk536026214142222222"/>
    <w:bookmarkStart w:id="64" w:name="_Hlk536026213142222222"/>
    <w:bookmarkEnd w:id="63"/>
    <w:bookmarkEnd w:id="64"/>
  </w:p>
  <w:p>
    <w:pPr>
      <w:pStyle w:val="BodyText"/>
      <w:spacing w:lineRule="auto" w:line="5"/>
      <w:rPr/>
    </w:pPr>
    <w:r>
      <w:rPr/>
    </w:r>
  </w:p>
</w:ftr>
</file>

<file path=word/footer1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0490" w:type="dxa"/>
      <w:jc w:val="left"/>
      <w:tblInd w:w="-459" w:type="dxa"/>
      <w:tblLayout w:type="fixed"/>
      <w:tblCellMar>
        <w:top w:w="0" w:type="dxa"/>
        <w:left w:w="108" w:type="dxa"/>
        <w:bottom w:w="0" w:type="dxa"/>
        <w:right w:w="108" w:type="dxa"/>
      </w:tblCellMar>
    </w:tblPr>
    <w:tblGrid>
      <w:gridCol w:w="3223"/>
      <w:gridCol w:w="4003"/>
      <w:gridCol w:w="3264"/>
    </w:tblGrid>
    <w:tr>
      <w:trPr/>
      <w:tc>
        <w:tcPr>
          <w:tcW w:w="3223" w:type="dxa"/>
          <w:tcBorders/>
          <w:vAlign w:val="center"/>
        </w:tcPr>
        <w:p>
          <w:pPr>
            <w:pStyle w:val="Footer"/>
            <w:widowControl w:val="false"/>
            <w:tabs>
              <w:tab w:val="clear" w:pos="4536"/>
              <w:tab w:val="clear" w:pos="9072"/>
              <w:tab w:val="center" w:pos="2976" w:leader="none"/>
            </w:tabs>
            <w:suppressAutoHyphens w:val="true"/>
            <w:spacing w:before="0" w:after="0"/>
            <w:ind w:hanging="0" w:left="0" w:right="35"/>
            <w:jc w:val="center"/>
            <w:rPr>
              <w:rFonts w:cs="Times New Roman"/>
              <w:b/>
              <w:bCs w:val="false"/>
              <w:kern w:val="0"/>
              <w:sz w:val="18"/>
              <w:szCs w:val="18"/>
              <w:lang w:val="fr-FR" w:bidi="ar-SA"/>
            </w:rPr>
          </w:pPr>
          <w:bookmarkStart w:id="19" w:name="_Hlk536026213"/>
          <w:bookmarkStart w:id="20" w:name="_Hlk536026214"/>
          <w:bookmarkEnd w:id="19"/>
          <w:bookmarkEnd w:id="20"/>
          <w:r>
            <w:rPr>
              <w:rFonts w:cs="Times New Roman"/>
              <w:b/>
              <w:bCs w:val="false"/>
              <w:kern w:val="0"/>
              <w:sz w:val="18"/>
              <w:szCs w:val="18"/>
              <w:lang w:val="fr-FR" w:bidi="ar-SA"/>
            </w:rPr>
            <w:t>Direction Interdépartementales des Routes</w:t>
          </w:r>
        </w:p>
        <w:p>
          <w:pPr>
            <w:pStyle w:val="Footer"/>
            <w:widowControl w:val="false"/>
            <w:tabs>
              <w:tab w:val="clear" w:pos="4536"/>
              <w:tab w:val="clear" w:pos="9072"/>
              <w:tab w:val="center" w:pos="2976" w:leader="none"/>
            </w:tabs>
            <w:suppressAutoHyphens w:val="true"/>
            <w:spacing w:before="0" w:after="0"/>
            <w:ind w:hanging="0" w:left="0" w:right="35"/>
            <w:jc w:val="center"/>
            <w:rPr>
              <w:rFonts w:cs="Times New Roman"/>
              <w:b/>
              <w:bCs w:val="false"/>
              <w:kern w:val="0"/>
              <w:sz w:val="18"/>
              <w:szCs w:val="18"/>
              <w:lang w:val="fr-FR" w:bidi="ar-SA"/>
            </w:rPr>
          </w:pPr>
          <w:r>
            <w:rPr>
              <w:rFonts w:cs="Times New Roman"/>
              <w:b/>
              <w:bCs w:val="false"/>
              <w:kern w:val="0"/>
              <w:sz w:val="18"/>
              <w:szCs w:val="18"/>
              <w:lang w:val="fr-FR" w:bidi="ar-SA"/>
            </w:rPr>
            <w:t>Centre -Ouest</w:t>
          </w:r>
        </w:p>
      </w:tc>
      <w:tc>
        <w:tcPr>
          <w:tcW w:w="4003" w:type="dxa"/>
          <w:tcBorders/>
          <w:vAlign w:val="center"/>
        </w:tcPr>
        <w:p>
          <w:pPr>
            <w:pStyle w:val="Footer"/>
            <w:widowControl w:val="false"/>
            <w:suppressAutoHyphens w:val="true"/>
            <w:spacing w:before="0" w:after="0"/>
            <w:ind w:hanging="0" w:left="0" w:right="-251"/>
            <w:jc w:val="center"/>
            <w:rPr/>
          </w:pPr>
          <w:r>
            <w:rPr/>
            <w:drawing>
              <wp:inline distT="0" distB="0" distL="0" distR="0">
                <wp:extent cx="405765" cy="539750"/>
                <wp:effectExtent l="0" t="0" r="0" b="0"/>
                <wp:docPr id="11" name="Image4" descr="Modèle de communiqué de pres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4" descr="Modèle de communiqué de presse"/>
                        <pic:cNvPicPr>
                          <a:picLocks noChangeAspect="1" noChangeArrowheads="1"/>
                        </pic:cNvPicPr>
                      </pic:nvPicPr>
                      <pic:blipFill>
                        <a:blip r:embed="rId1"/>
                        <a:stretch>
                          <a:fillRect/>
                        </a:stretch>
                      </pic:blipFill>
                      <pic:spPr bwMode="auto">
                        <a:xfrm>
                          <a:off x="0" y="0"/>
                          <a:ext cx="405765" cy="539750"/>
                        </a:xfrm>
                        <a:prstGeom prst="rect">
                          <a:avLst/>
                        </a:prstGeom>
                        <a:noFill/>
                      </pic:spPr>
                    </pic:pic>
                  </a:graphicData>
                </a:graphic>
              </wp:inline>
            </w:drawing>
          </w:r>
        </w:p>
      </w:tc>
      <w:tc>
        <w:tcPr>
          <w:tcW w:w="3264" w:type="dxa"/>
          <w:tcBorders/>
          <w:vAlign w:val="center"/>
        </w:tcPr>
        <w:p>
          <w:pPr>
            <w:pStyle w:val="Footer"/>
            <w:widowControl w:val="false"/>
            <w:suppressAutoHyphens w:val="true"/>
            <w:spacing w:before="240" w:after="0"/>
            <w:ind w:firstLine="639" w:left="0" w:right="0"/>
            <w:jc w:val="center"/>
            <w:rPr>
              <w:rFonts w:cs="Times New Roman"/>
              <w:b/>
              <w:bCs w:val="false"/>
              <w:kern w:val="0"/>
              <w:sz w:val="18"/>
              <w:szCs w:val="18"/>
              <w:lang w:val="fr-FR" w:bidi="ar-SA"/>
            </w:rPr>
          </w:pPr>
          <w:r>
            <w:rPr>
              <w:rFonts w:cs="Times New Roman"/>
              <w:b/>
              <w:bCs w:val="false"/>
              <w:kern w:val="0"/>
              <w:sz w:val="18"/>
              <w:szCs w:val="18"/>
              <w:lang w:val="fr-FR" w:bidi="ar-SA"/>
            </w:rPr>
            <w:t>B.P.U</w:t>
          </w:r>
        </w:p>
        <w:p>
          <w:pPr>
            <w:pStyle w:val="Footer"/>
            <w:widowControl w:val="false"/>
            <w:suppressAutoHyphens w:val="true"/>
            <w:spacing w:before="0" w:after="0"/>
            <w:ind w:hanging="0" w:left="602" w:right="995"/>
            <w:jc w:val="right"/>
            <w:rPr>
              <w:rFonts w:cs="Times New Roman"/>
              <w:b/>
              <w:bCs w:val="false"/>
              <w:kern w:val="0"/>
              <w:sz w:val="18"/>
              <w:szCs w:val="18"/>
              <w:lang w:val="fr-FR" w:bidi="ar-SA"/>
            </w:rPr>
          </w:pPr>
          <w:r>
            <w:rPr>
              <w:rFonts w:cs="Times New Roman"/>
              <w:b/>
              <w:bCs w:val="false"/>
              <w:kern w:val="0"/>
              <w:sz w:val="18"/>
              <w:szCs w:val="18"/>
              <w:lang w:val="fr-FR" w:bidi="ar-SA"/>
            </w:rPr>
            <w:t>Ind. B</w:t>
          </w:r>
        </w:p>
        <w:p>
          <w:pPr>
            <w:pStyle w:val="Footer"/>
            <w:widowControl w:val="false"/>
            <w:suppressAutoHyphens w:val="true"/>
            <w:spacing w:before="0" w:after="0"/>
            <w:ind w:hanging="0" w:left="602" w:right="745"/>
            <w:jc w:val="right"/>
            <w:rPr>
              <w:rFonts w:cs="Times New Roman"/>
              <w:b/>
              <w:bCs w:val="false"/>
              <w:kern w:val="0"/>
              <w:sz w:val="18"/>
              <w:szCs w:val="18"/>
              <w:lang w:val="fr-FR" w:bidi="ar-SA"/>
            </w:rPr>
          </w:pPr>
          <w:r>
            <w:rPr>
              <w:rFonts w:cs="Times New Roman"/>
              <w:b/>
              <w:bCs w:val="false"/>
              <w:kern w:val="0"/>
              <w:sz w:val="18"/>
              <w:szCs w:val="18"/>
              <w:lang w:val="fr-FR" w:bidi="ar-SA"/>
            </w:rPr>
            <w:t>Mars 2026</w:t>
          </w:r>
        </w:p>
      </w:tc>
    </w:tr>
  </w:tbl>
  <w:p>
    <w:pPr>
      <w:pStyle w:val="Footer"/>
      <w:rPr/>
    </w:pPr>
    <w:r>
      <w:rPr/>
      <mc:AlternateContent>
        <mc:Choice Requires="wps">
          <w:drawing>
            <wp:anchor distT="0" distB="0" distL="0" distR="0" simplePos="0" relativeHeight="27" behindDoc="1" locked="0" layoutInCell="0" allowOverlap="1">
              <wp:simplePos x="0" y="0"/>
              <wp:positionH relativeFrom="rightMargin">
                <wp:posOffset>205740</wp:posOffset>
              </wp:positionH>
              <wp:positionV relativeFrom="page">
                <wp:posOffset>10008870</wp:posOffset>
              </wp:positionV>
              <wp:extent cx="1262380" cy="1231900"/>
              <wp:effectExtent l="0" t="635" r="635" b="635"/>
              <wp:wrapNone/>
              <wp:docPr id="12" name="Ellipse 1"/>
              <a:graphic xmlns:a="http://schemas.openxmlformats.org/drawingml/2006/main">
                <a:graphicData uri="http://schemas.microsoft.com/office/word/2010/wordprocessingShape">
                  <wps:wsp>
                    <wps:cNvSpPr/>
                    <wps:spPr>
                      <a:xfrm>
                        <a:off x="0" y="0"/>
                        <a:ext cx="1262520" cy="1231920"/>
                      </a:xfrm>
                      <a:prstGeom prst="ellipse">
                        <a:avLst/>
                      </a:prstGeom>
                      <a:solidFill>
                        <a:srgbClr val="BFBFBF"/>
                      </a:solidFill>
                      <a:ln w="0">
                        <a:noFill/>
                      </a:ln>
                    </wps:spPr>
                    <wps:style>
                      <a:lnRef idx="0"/>
                      <a:fillRef idx="0"/>
                      <a:effectRef idx="0"/>
                      <a:fontRef idx="minor"/>
                    </wps:style>
                    <wps:txbx>
                      <w:txbxContent>
                        <w:p>
                          <w:pPr>
                            <w:pStyle w:val="Contenudecadre"/>
                            <w:spacing w:before="240" w:after="0"/>
                            <w:jc w:val="left"/>
                            <w:rPr/>
                          </w:pPr>
                          <w:r>
                            <w:rPr>
                              <w:szCs w:val="22"/>
                            </w:rPr>
                            <w:t xml:space="preserve">  </w:t>
                          </w:r>
                          <w:r>
                            <w:rPr>
                              <w:b/>
                              <w:color w:val="FFFFFF"/>
                              <w:sz w:val="28"/>
                              <w:szCs w:val="22"/>
                            </w:rPr>
                            <w:fldChar w:fldCharType="begin"/>
                          </w:r>
                          <w:r>
                            <w:rPr>
                              <w:b/>
                              <w:color w:val="FFFFFF"/>
                              <w:sz w:val="28"/>
                              <w:szCs w:val="22"/>
                            </w:rPr>
                            <w:instrText xml:space="preserve"> PAGE </w:instrText>
                          </w:r>
                          <w:r>
                            <w:rPr>
                              <w:b/>
                              <w:color w:val="FFFFFF"/>
                              <w:sz w:val="28"/>
                              <w:szCs w:val="22"/>
                            </w:rPr>
                            <w:fldChar w:fldCharType="separate"/>
                          </w:r>
                          <w:r>
                            <w:rPr>
                              <w:b/>
                              <w:color w:val="FFFFFF"/>
                              <w:sz w:val="28"/>
                              <w:szCs w:val="22"/>
                            </w:rPr>
                            <w:t>13</w:t>
                          </w:r>
                          <w:r>
                            <w:rPr>
                              <w:b/>
                              <w:color w:val="FFFFFF"/>
                              <w:sz w:val="28"/>
                              <w:szCs w:val="22"/>
                            </w:rPr>
                            <w:fldChar w:fldCharType="end"/>
                          </w:r>
                        </w:p>
                      </w:txbxContent>
                    </wps:txbx>
                    <wps:bodyPr lIns="0" tIns="0" rIns="0" bIns="0" anchor="t">
                      <a:noAutofit/>
                    </wps:bodyPr>
                  </wps:wsp>
                </a:graphicData>
              </a:graphic>
            </wp:anchor>
          </w:drawing>
        </mc:Choice>
        <mc:Fallback>
          <w:pict>
            <v:oval id="shape_0" fillcolor="#bfbfbf" stroked="f" o:allowincell="f" style="position:absolute;margin-left:16.2pt;margin-top:788.1pt;width:99.35pt;height:96.95pt;mso-wrap-style:square;v-text-anchor:top;mso-position-horizontal-relative:page;mso-position-vertical-relative:page">
              <v:fill o:detectmouseclick="t" type="solid" color2="#404040"/>
              <v:stroke color="#3465a4" joinstyle="round" endcap="flat"/>
              <v:textbox>
                <w:txbxContent>
                  <w:p>
                    <w:pPr>
                      <w:pStyle w:val="Contenudecadre"/>
                      <w:spacing w:before="240" w:after="0"/>
                      <w:jc w:val="left"/>
                      <w:rPr/>
                    </w:pPr>
                    <w:r>
                      <w:rPr>
                        <w:szCs w:val="22"/>
                      </w:rPr>
                      <w:t xml:space="preserve">  </w:t>
                    </w:r>
                    <w:r>
                      <w:rPr>
                        <w:b/>
                        <w:color w:val="FFFFFF"/>
                        <w:sz w:val="28"/>
                        <w:szCs w:val="22"/>
                      </w:rPr>
                      <w:fldChar w:fldCharType="begin"/>
                    </w:r>
                    <w:r>
                      <w:rPr>
                        <w:b/>
                        <w:color w:val="FFFFFF"/>
                        <w:sz w:val="28"/>
                        <w:szCs w:val="22"/>
                      </w:rPr>
                      <w:instrText xml:space="preserve"> PAGE </w:instrText>
                    </w:r>
                    <w:r>
                      <w:rPr>
                        <w:b/>
                        <w:color w:val="FFFFFF"/>
                        <w:sz w:val="28"/>
                        <w:szCs w:val="22"/>
                      </w:rPr>
                      <w:fldChar w:fldCharType="separate"/>
                    </w:r>
                    <w:r>
                      <w:rPr>
                        <w:b/>
                        <w:color w:val="FFFFFF"/>
                        <w:sz w:val="28"/>
                        <w:szCs w:val="22"/>
                      </w:rPr>
                      <w:t>13</w:t>
                    </w:r>
                    <w:r>
                      <w:rPr>
                        <w:b/>
                        <w:color w:val="FFFFFF"/>
                        <w:sz w:val="28"/>
                        <w:szCs w:val="22"/>
                      </w:rPr>
                      <w:fldChar w:fldCharType="end"/>
                    </w:r>
                  </w:p>
                </w:txbxContent>
              </v:textbox>
              <w10:wrap type="none"/>
            </v:oval>
          </w:pict>
        </mc:Fallback>
      </mc:AlternateContent>
    </w:r>
    <w:bookmarkStart w:id="21" w:name="_Hlk5360262141"/>
    <w:bookmarkStart w:id="22" w:name="_Hlk5360262131"/>
    <w:bookmarkEnd w:id="21"/>
    <w:bookmarkEnd w:id="22"/>
  </w:p>
  <w:p>
    <w:pPr>
      <w:pStyle w:val="BodyText"/>
      <w:spacing w:lineRule="auto" w:line="5"/>
      <w:rPr/>
    </w:pPr>
    <w:r>
      <w:rPr/>
    </w:r>
  </w:p>
</w:ftr>
</file>

<file path=word/footer2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0490" w:type="dxa"/>
      <w:jc w:val="left"/>
      <w:tblInd w:w="-459" w:type="dxa"/>
      <w:tblLayout w:type="fixed"/>
      <w:tblCellMar>
        <w:top w:w="0" w:type="dxa"/>
        <w:left w:w="108" w:type="dxa"/>
        <w:bottom w:w="0" w:type="dxa"/>
        <w:right w:w="108" w:type="dxa"/>
      </w:tblCellMar>
    </w:tblPr>
    <w:tblGrid>
      <w:gridCol w:w="3223"/>
      <w:gridCol w:w="4003"/>
      <w:gridCol w:w="3264"/>
    </w:tblGrid>
    <w:tr>
      <w:trPr/>
      <w:tc>
        <w:tcPr>
          <w:tcW w:w="3223" w:type="dxa"/>
          <w:tcBorders/>
          <w:vAlign w:val="center"/>
        </w:tcPr>
        <w:p>
          <w:pPr>
            <w:pStyle w:val="Footer"/>
            <w:widowControl w:val="false"/>
            <w:tabs>
              <w:tab w:val="clear" w:pos="4536"/>
              <w:tab w:val="clear" w:pos="9072"/>
              <w:tab w:val="center" w:pos="2976" w:leader="none"/>
            </w:tabs>
            <w:suppressAutoHyphens w:val="true"/>
            <w:spacing w:before="0" w:after="0"/>
            <w:ind w:hanging="0" w:left="0" w:right="35"/>
            <w:jc w:val="center"/>
            <w:rPr>
              <w:rFonts w:cs="Times New Roman"/>
              <w:b/>
              <w:bCs w:val="false"/>
              <w:kern w:val="0"/>
              <w:sz w:val="18"/>
              <w:szCs w:val="18"/>
              <w:lang w:val="fr-FR" w:bidi="ar-SA"/>
            </w:rPr>
          </w:pPr>
          <w:bookmarkStart w:id="65" w:name="_Hlk536026214522222222"/>
          <w:bookmarkStart w:id="66" w:name="_Hlk536026213522222222"/>
          <w:bookmarkEnd w:id="65"/>
          <w:bookmarkEnd w:id="66"/>
          <w:r>
            <w:rPr>
              <w:rFonts w:cs="Times New Roman"/>
              <w:b/>
              <w:bCs w:val="false"/>
              <w:kern w:val="0"/>
              <w:sz w:val="18"/>
              <w:szCs w:val="18"/>
              <w:lang w:val="fr-FR" w:bidi="ar-SA"/>
            </w:rPr>
            <w:t>Direction Interdépartementales des Routes</w:t>
          </w:r>
        </w:p>
        <w:p>
          <w:pPr>
            <w:pStyle w:val="Footer"/>
            <w:widowControl w:val="false"/>
            <w:tabs>
              <w:tab w:val="clear" w:pos="4536"/>
              <w:tab w:val="clear" w:pos="9072"/>
              <w:tab w:val="center" w:pos="2976" w:leader="none"/>
            </w:tabs>
            <w:suppressAutoHyphens w:val="true"/>
            <w:spacing w:before="0" w:after="0"/>
            <w:ind w:hanging="0" w:left="0" w:right="35"/>
            <w:jc w:val="center"/>
            <w:rPr>
              <w:rFonts w:cs="Times New Roman"/>
              <w:b/>
              <w:bCs w:val="false"/>
              <w:kern w:val="0"/>
              <w:sz w:val="18"/>
              <w:szCs w:val="18"/>
              <w:lang w:val="fr-FR" w:bidi="ar-SA"/>
            </w:rPr>
          </w:pPr>
          <w:r>
            <w:rPr>
              <w:rFonts w:cs="Times New Roman"/>
              <w:b/>
              <w:bCs w:val="false"/>
              <w:kern w:val="0"/>
              <w:sz w:val="18"/>
              <w:szCs w:val="18"/>
              <w:lang w:val="fr-FR" w:bidi="ar-SA"/>
            </w:rPr>
            <w:t>Centre -Ouest</w:t>
          </w:r>
        </w:p>
      </w:tc>
      <w:tc>
        <w:tcPr>
          <w:tcW w:w="4003" w:type="dxa"/>
          <w:tcBorders/>
          <w:vAlign w:val="center"/>
        </w:tcPr>
        <w:p>
          <w:pPr>
            <w:pStyle w:val="Footer"/>
            <w:widowControl w:val="false"/>
            <w:suppressAutoHyphens w:val="true"/>
            <w:spacing w:before="0" w:after="0"/>
            <w:ind w:hanging="0" w:left="0" w:right="-251"/>
            <w:jc w:val="center"/>
            <w:rPr/>
          </w:pPr>
          <w:r>
            <w:rPr/>
            <w:drawing>
              <wp:inline distT="0" distB="0" distL="0" distR="0">
                <wp:extent cx="405765" cy="539750"/>
                <wp:effectExtent l="0" t="0" r="0" b="0"/>
                <wp:docPr id="38" name="Image22" descr="Modèle de communiqué de pres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Image22" descr="Modèle de communiqué de presse"/>
                        <pic:cNvPicPr>
                          <a:picLocks noChangeAspect="1" noChangeArrowheads="1"/>
                        </pic:cNvPicPr>
                      </pic:nvPicPr>
                      <pic:blipFill>
                        <a:blip r:embed="rId1"/>
                        <a:stretch>
                          <a:fillRect/>
                        </a:stretch>
                      </pic:blipFill>
                      <pic:spPr bwMode="auto">
                        <a:xfrm>
                          <a:off x="0" y="0"/>
                          <a:ext cx="405765" cy="539750"/>
                        </a:xfrm>
                        <a:prstGeom prst="rect">
                          <a:avLst/>
                        </a:prstGeom>
                        <a:noFill/>
                      </pic:spPr>
                    </pic:pic>
                  </a:graphicData>
                </a:graphic>
              </wp:inline>
            </w:drawing>
          </w:r>
        </w:p>
      </w:tc>
      <w:tc>
        <w:tcPr>
          <w:tcW w:w="3264" w:type="dxa"/>
          <w:tcBorders/>
          <w:vAlign w:val="center"/>
        </w:tcPr>
        <w:p>
          <w:pPr>
            <w:pStyle w:val="Footer"/>
            <w:widowControl w:val="false"/>
            <w:suppressAutoHyphens w:val="true"/>
            <w:spacing w:before="240" w:after="0"/>
            <w:ind w:firstLine="639" w:left="0" w:right="0"/>
            <w:jc w:val="center"/>
            <w:rPr>
              <w:rFonts w:cs="Times New Roman"/>
              <w:b/>
              <w:bCs w:val="false"/>
              <w:kern w:val="0"/>
              <w:sz w:val="18"/>
              <w:szCs w:val="18"/>
              <w:lang w:val="fr-FR" w:bidi="ar-SA"/>
            </w:rPr>
          </w:pPr>
          <w:r>
            <w:rPr>
              <w:rFonts w:cs="Times New Roman"/>
              <w:b/>
              <w:bCs w:val="false"/>
              <w:kern w:val="0"/>
              <w:sz w:val="18"/>
              <w:szCs w:val="18"/>
              <w:lang w:val="fr-FR" w:bidi="ar-SA"/>
            </w:rPr>
            <w:t>B.P.U</w:t>
          </w:r>
        </w:p>
        <w:p>
          <w:pPr>
            <w:pStyle w:val="Footer"/>
            <w:widowControl w:val="false"/>
            <w:suppressAutoHyphens w:val="true"/>
            <w:spacing w:before="0" w:after="0"/>
            <w:ind w:hanging="0" w:left="602" w:right="995"/>
            <w:jc w:val="right"/>
            <w:rPr>
              <w:rFonts w:cs="Times New Roman"/>
              <w:b/>
              <w:bCs w:val="false"/>
              <w:kern w:val="0"/>
              <w:sz w:val="18"/>
              <w:szCs w:val="18"/>
              <w:lang w:val="fr-FR" w:bidi="ar-SA"/>
            </w:rPr>
          </w:pPr>
          <w:r>
            <w:rPr>
              <w:rFonts w:cs="Times New Roman"/>
              <w:b/>
              <w:bCs w:val="false"/>
              <w:kern w:val="0"/>
              <w:sz w:val="18"/>
              <w:szCs w:val="18"/>
              <w:lang w:val="fr-FR" w:bidi="ar-SA"/>
            </w:rPr>
            <w:t>Ind. B</w:t>
          </w:r>
        </w:p>
        <w:p>
          <w:pPr>
            <w:pStyle w:val="Footer"/>
            <w:widowControl w:val="false"/>
            <w:suppressAutoHyphens w:val="true"/>
            <w:spacing w:before="0" w:after="0"/>
            <w:ind w:hanging="0" w:left="602" w:right="745"/>
            <w:jc w:val="right"/>
            <w:rPr>
              <w:rFonts w:cs="Times New Roman"/>
              <w:b/>
              <w:bCs w:val="false"/>
              <w:kern w:val="0"/>
              <w:sz w:val="18"/>
              <w:szCs w:val="18"/>
              <w:lang w:val="fr-FR" w:bidi="ar-SA"/>
            </w:rPr>
          </w:pPr>
          <w:r>
            <w:rPr>
              <w:rFonts w:cs="Times New Roman"/>
              <w:b/>
              <w:bCs w:val="false"/>
              <w:kern w:val="0"/>
              <w:sz w:val="18"/>
              <w:szCs w:val="18"/>
              <w:lang w:val="fr-FR" w:bidi="ar-SA"/>
            </w:rPr>
            <w:t>Mars 2026</w:t>
          </w:r>
        </w:p>
      </w:tc>
    </w:tr>
  </w:tbl>
  <w:p>
    <w:pPr>
      <w:pStyle w:val="Footer"/>
      <w:rPr/>
    </w:pPr>
    <w:r>
      <w:rPr/>
      <mc:AlternateContent>
        <mc:Choice Requires="wps">
          <w:drawing>
            <wp:anchor distT="0" distB="0" distL="0" distR="0" simplePos="0" relativeHeight="63" behindDoc="1" locked="0" layoutInCell="0" allowOverlap="1">
              <wp:simplePos x="0" y="0"/>
              <wp:positionH relativeFrom="rightMargin">
                <wp:posOffset>205740</wp:posOffset>
              </wp:positionH>
              <wp:positionV relativeFrom="page">
                <wp:posOffset>10008870</wp:posOffset>
              </wp:positionV>
              <wp:extent cx="1262380" cy="1231900"/>
              <wp:effectExtent l="0" t="635" r="635" b="635"/>
              <wp:wrapNone/>
              <wp:docPr id="39" name="Ellipse 10"/>
              <a:graphic xmlns:a="http://schemas.openxmlformats.org/drawingml/2006/main">
                <a:graphicData uri="http://schemas.microsoft.com/office/word/2010/wordprocessingShape">
                  <wps:wsp>
                    <wps:cNvSpPr/>
                    <wps:spPr>
                      <a:xfrm>
                        <a:off x="0" y="0"/>
                        <a:ext cx="1262520" cy="1231920"/>
                      </a:xfrm>
                      <a:prstGeom prst="ellipse">
                        <a:avLst/>
                      </a:prstGeom>
                      <a:solidFill>
                        <a:srgbClr val="BFBFBF"/>
                      </a:solidFill>
                      <a:ln w="0">
                        <a:noFill/>
                      </a:ln>
                    </wps:spPr>
                    <wps:style>
                      <a:lnRef idx="0"/>
                      <a:fillRef idx="0"/>
                      <a:effectRef idx="0"/>
                      <a:fontRef idx="minor"/>
                    </wps:style>
                    <wps:txbx>
                      <w:txbxContent>
                        <w:p>
                          <w:pPr>
                            <w:pStyle w:val="Contenudecadre"/>
                            <w:spacing w:before="240" w:after="0"/>
                            <w:jc w:val="left"/>
                            <w:rPr/>
                          </w:pPr>
                          <w:r>
                            <w:rPr>
                              <w:szCs w:val="22"/>
                            </w:rPr>
                            <w:t xml:space="preserve">  </w:t>
                          </w:r>
                          <w:r>
                            <w:rPr>
                              <w:b/>
                              <w:color w:val="FFFFFF"/>
                              <w:sz w:val="28"/>
                              <w:szCs w:val="22"/>
                            </w:rPr>
                            <w:fldChar w:fldCharType="begin"/>
                          </w:r>
                          <w:r>
                            <w:rPr>
                              <w:b/>
                              <w:color w:val="FFFFFF"/>
                              <w:sz w:val="28"/>
                              <w:szCs w:val="22"/>
                            </w:rPr>
                            <w:instrText xml:space="preserve"> PAGE </w:instrText>
                          </w:r>
                          <w:r>
                            <w:rPr>
                              <w:b/>
                              <w:color w:val="FFFFFF"/>
                              <w:sz w:val="28"/>
                              <w:szCs w:val="22"/>
                            </w:rPr>
                            <w:fldChar w:fldCharType="separate"/>
                          </w:r>
                          <w:r>
                            <w:rPr>
                              <w:b/>
                              <w:color w:val="FFFFFF"/>
                              <w:sz w:val="28"/>
                              <w:szCs w:val="22"/>
                            </w:rPr>
                            <w:t>31</w:t>
                          </w:r>
                          <w:r>
                            <w:rPr>
                              <w:b/>
                              <w:color w:val="FFFFFF"/>
                              <w:sz w:val="28"/>
                              <w:szCs w:val="22"/>
                            </w:rPr>
                            <w:fldChar w:fldCharType="end"/>
                          </w:r>
                        </w:p>
                      </w:txbxContent>
                    </wps:txbx>
                    <wps:bodyPr lIns="0" tIns="0" rIns="0" bIns="0" anchor="t">
                      <a:noAutofit/>
                    </wps:bodyPr>
                  </wps:wsp>
                </a:graphicData>
              </a:graphic>
            </wp:anchor>
          </w:drawing>
        </mc:Choice>
        <mc:Fallback>
          <w:pict>
            <v:oval id="shape_0" fillcolor="#bfbfbf" stroked="f" o:allowincell="f" style="position:absolute;margin-left:16.2pt;margin-top:788.1pt;width:99.35pt;height:96.95pt;mso-wrap-style:square;v-text-anchor:top;mso-position-horizontal-relative:page;mso-position-vertical-relative:page">
              <v:fill o:detectmouseclick="t" type="solid" color2="#404040"/>
              <v:stroke color="#3465a4" joinstyle="round" endcap="flat"/>
              <v:textbox>
                <w:txbxContent>
                  <w:p>
                    <w:pPr>
                      <w:pStyle w:val="Contenudecadre"/>
                      <w:spacing w:before="240" w:after="0"/>
                      <w:jc w:val="left"/>
                      <w:rPr/>
                    </w:pPr>
                    <w:r>
                      <w:rPr>
                        <w:szCs w:val="22"/>
                      </w:rPr>
                      <w:t xml:space="preserve">  </w:t>
                    </w:r>
                    <w:r>
                      <w:rPr>
                        <w:b/>
                        <w:color w:val="FFFFFF"/>
                        <w:sz w:val="28"/>
                        <w:szCs w:val="22"/>
                      </w:rPr>
                      <w:fldChar w:fldCharType="begin"/>
                    </w:r>
                    <w:r>
                      <w:rPr>
                        <w:b/>
                        <w:color w:val="FFFFFF"/>
                        <w:sz w:val="28"/>
                        <w:szCs w:val="22"/>
                      </w:rPr>
                      <w:instrText xml:space="preserve"> PAGE </w:instrText>
                    </w:r>
                    <w:r>
                      <w:rPr>
                        <w:b/>
                        <w:color w:val="FFFFFF"/>
                        <w:sz w:val="28"/>
                        <w:szCs w:val="22"/>
                      </w:rPr>
                      <w:fldChar w:fldCharType="separate"/>
                    </w:r>
                    <w:r>
                      <w:rPr>
                        <w:b/>
                        <w:color w:val="FFFFFF"/>
                        <w:sz w:val="28"/>
                        <w:szCs w:val="22"/>
                      </w:rPr>
                      <w:t>31</w:t>
                    </w:r>
                    <w:r>
                      <w:rPr>
                        <w:b/>
                        <w:color w:val="FFFFFF"/>
                        <w:sz w:val="28"/>
                        <w:szCs w:val="22"/>
                      </w:rPr>
                      <w:fldChar w:fldCharType="end"/>
                    </w:r>
                  </w:p>
                </w:txbxContent>
              </v:textbox>
              <w10:wrap type="none"/>
            </v:oval>
          </w:pict>
        </mc:Fallback>
      </mc:AlternateContent>
    </w:r>
    <w:bookmarkStart w:id="67" w:name="_Hlk5360262131422222222"/>
    <w:bookmarkStart w:id="68" w:name="_Hlk5360262141422222222"/>
    <w:bookmarkEnd w:id="67"/>
    <w:bookmarkEnd w:id="68"/>
  </w:p>
  <w:p>
    <w:pPr>
      <w:pStyle w:val="BodyText"/>
      <w:spacing w:lineRule="auto" w:line="5"/>
      <w:rPr/>
    </w:pPr>
    <w:r>
      <w:rPr/>
    </w:r>
  </w:p>
</w:ftr>
</file>

<file path=word/footer2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2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0490" w:type="dxa"/>
      <w:jc w:val="left"/>
      <w:tblInd w:w="-459" w:type="dxa"/>
      <w:tblLayout w:type="fixed"/>
      <w:tblCellMar>
        <w:top w:w="0" w:type="dxa"/>
        <w:left w:w="108" w:type="dxa"/>
        <w:bottom w:w="0" w:type="dxa"/>
        <w:right w:w="108" w:type="dxa"/>
      </w:tblCellMar>
    </w:tblPr>
    <w:tblGrid>
      <w:gridCol w:w="3223"/>
      <w:gridCol w:w="4003"/>
      <w:gridCol w:w="3264"/>
    </w:tblGrid>
    <w:tr>
      <w:trPr/>
      <w:tc>
        <w:tcPr>
          <w:tcW w:w="3223" w:type="dxa"/>
          <w:tcBorders/>
          <w:vAlign w:val="center"/>
        </w:tcPr>
        <w:p>
          <w:pPr>
            <w:pStyle w:val="Footer"/>
            <w:widowControl w:val="false"/>
            <w:tabs>
              <w:tab w:val="clear" w:pos="4536"/>
              <w:tab w:val="clear" w:pos="9072"/>
              <w:tab w:val="center" w:pos="2976" w:leader="none"/>
            </w:tabs>
            <w:suppressAutoHyphens w:val="true"/>
            <w:spacing w:before="0" w:after="0"/>
            <w:ind w:hanging="0" w:left="0" w:right="35"/>
            <w:jc w:val="center"/>
            <w:rPr>
              <w:rFonts w:cs="Times New Roman"/>
              <w:b/>
              <w:bCs w:val="false"/>
              <w:kern w:val="0"/>
              <w:sz w:val="18"/>
              <w:szCs w:val="18"/>
              <w:lang w:val="fr-FR" w:bidi="ar-SA"/>
            </w:rPr>
          </w:pPr>
          <w:bookmarkStart w:id="69" w:name="_Hlk5360262135222222222"/>
          <w:bookmarkStart w:id="70" w:name="_Hlk5360262145222222222"/>
          <w:bookmarkEnd w:id="69"/>
          <w:bookmarkEnd w:id="70"/>
          <w:r>
            <w:rPr>
              <w:rFonts w:cs="Times New Roman"/>
              <w:b/>
              <w:bCs w:val="false"/>
              <w:kern w:val="0"/>
              <w:sz w:val="18"/>
              <w:szCs w:val="18"/>
              <w:lang w:val="fr-FR" w:bidi="ar-SA"/>
            </w:rPr>
            <w:t>Direction Interdépartementales des Routes</w:t>
          </w:r>
        </w:p>
        <w:p>
          <w:pPr>
            <w:pStyle w:val="Footer"/>
            <w:widowControl w:val="false"/>
            <w:tabs>
              <w:tab w:val="clear" w:pos="4536"/>
              <w:tab w:val="clear" w:pos="9072"/>
              <w:tab w:val="center" w:pos="2976" w:leader="none"/>
            </w:tabs>
            <w:suppressAutoHyphens w:val="true"/>
            <w:spacing w:before="0" w:after="0"/>
            <w:ind w:hanging="0" w:left="0" w:right="35"/>
            <w:jc w:val="center"/>
            <w:rPr>
              <w:rFonts w:cs="Times New Roman"/>
              <w:b/>
              <w:bCs w:val="false"/>
              <w:kern w:val="0"/>
              <w:sz w:val="18"/>
              <w:szCs w:val="18"/>
              <w:lang w:val="fr-FR" w:bidi="ar-SA"/>
            </w:rPr>
          </w:pPr>
          <w:r>
            <w:rPr>
              <w:rFonts w:cs="Times New Roman"/>
              <w:b/>
              <w:bCs w:val="false"/>
              <w:kern w:val="0"/>
              <w:sz w:val="18"/>
              <w:szCs w:val="18"/>
              <w:lang w:val="fr-FR" w:bidi="ar-SA"/>
            </w:rPr>
            <w:t>Centre -Ouest</w:t>
          </w:r>
        </w:p>
      </w:tc>
      <w:tc>
        <w:tcPr>
          <w:tcW w:w="4003" w:type="dxa"/>
          <w:tcBorders/>
          <w:vAlign w:val="center"/>
        </w:tcPr>
        <w:p>
          <w:pPr>
            <w:pStyle w:val="Footer"/>
            <w:widowControl w:val="false"/>
            <w:suppressAutoHyphens w:val="true"/>
            <w:spacing w:before="0" w:after="0"/>
            <w:ind w:hanging="0" w:left="0" w:right="-251"/>
            <w:jc w:val="center"/>
            <w:rPr/>
          </w:pPr>
          <w:r>
            <w:rPr/>
            <w:drawing>
              <wp:inline distT="0" distB="0" distL="0" distR="0">
                <wp:extent cx="405765" cy="539750"/>
                <wp:effectExtent l="0" t="0" r="0" b="0"/>
                <wp:docPr id="41" name="Image24" descr="Modèle de communiqué de pres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Image24" descr="Modèle de communiqué de presse"/>
                        <pic:cNvPicPr>
                          <a:picLocks noChangeAspect="1" noChangeArrowheads="1"/>
                        </pic:cNvPicPr>
                      </pic:nvPicPr>
                      <pic:blipFill>
                        <a:blip r:embed="rId1"/>
                        <a:stretch>
                          <a:fillRect/>
                        </a:stretch>
                      </pic:blipFill>
                      <pic:spPr bwMode="auto">
                        <a:xfrm>
                          <a:off x="0" y="0"/>
                          <a:ext cx="405765" cy="539750"/>
                        </a:xfrm>
                        <a:prstGeom prst="rect">
                          <a:avLst/>
                        </a:prstGeom>
                        <a:noFill/>
                      </pic:spPr>
                    </pic:pic>
                  </a:graphicData>
                </a:graphic>
              </wp:inline>
            </w:drawing>
          </w:r>
        </w:p>
      </w:tc>
      <w:tc>
        <w:tcPr>
          <w:tcW w:w="3264" w:type="dxa"/>
          <w:tcBorders/>
          <w:vAlign w:val="center"/>
        </w:tcPr>
        <w:p>
          <w:pPr>
            <w:pStyle w:val="Footer"/>
            <w:widowControl w:val="false"/>
            <w:suppressAutoHyphens w:val="true"/>
            <w:spacing w:before="240" w:after="0"/>
            <w:ind w:firstLine="639" w:left="0" w:right="0"/>
            <w:jc w:val="center"/>
            <w:rPr>
              <w:rFonts w:cs="Times New Roman"/>
              <w:b/>
              <w:bCs w:val="false"/>
              <w:kern w:val="0"/>
              <w:sz w:val="18"/>
              <w:szCs w:val="18"/>
              <w:lang w:val="fr-FR" w:bidi="ar-SA"/>
            </w:rPr>
          </w:pPr>
          <w:r>
            <w:rPr>
              <w:rFonts w:cs="Times New Roman"/>
              <w:b/>
              <w:bCs w:val="false"/>
              <w:kern w:val="0"/>
              <w:sz w:val="18"/>
              <w:szCs w:val="18"/>
              <w:lang w:val="fr-FR" w:bidi="ar-SA"/>
            </w:rPr>
            <w:t>B.P.U</w:t>
          </w:r>
        </w:p>
        <w:p>
          <w:pPr>
            <w:pStyle w:val="Footer"/>
            <w:widowControl w:val="false"/>
            <w:suppressAutoHyphens w:val="true"/>
            <w:spacing w:before="0" w:after="0"/>
            <w:ind w:hanging="0" w:left="602" w:right="995"/>
            <w:jc w:val="right"/>
            <w:rPr>
              <w:rFonts w:cs="Times New Roman"/>
              <w:b/>
              <w:bCs w:val="false"/>
              <w:kern w:val="0"/>
              <w:sz w:val="18"/>
              <w:szCs w:val="18"/>
              <w:lang w:val="fr-FR" w:bidi="ar-SA"/>
            </w:rPr>
          </w:pPr>
          <w:r>
            <w:rPr>
              <w:rFonts w:cs="Times New Roman"/>
              <w:b/>
              <w:bCs w:val="false"/>
              <w:kern w:val="0"/>
              <w:sz w:val="18"/>
              <w:szCs w:val="18"/>
              <w:lang w:val="fr-FR" w:bidi="ar-SA"/>
            </w:rPr>
            <w:t>Ind. B</w:t>
          </w:r>
        </w:p>
        <w:p>
          <w:pPr>
            <w:pStyle w:val="Footer"/>
            <w:widowControl w:val="false"/>
            <w:suppressAutoHyphens w:val="true"/>
            <w:spacing w:before="0" w:after="0"/>
            <w:ind w:hanging="0" w:left="602" w:right="745"/>
            <w:jc w:val="right"/>
            <w:rPr>
              <w:rFonts w:cs="Times New Roman"/>
              <w:b/>
              <w:bCs w:val="false"/>
              <w:kern w:val="0"/>
              <w:sz w:val="18"/>
              <w:szCs w:val="18"/>
              <w:lang w:val="fr-FR" w:bidi="ar-SA"/>
            </w:rPr>
          </w:pPr>
          <w:r>
            <w:rPr>
              <w:rFonts w:cs="Times New Roman"/>
              <w:b/>
              <w:bCs w:val="false"/>
              <w:kern w:val="0"/>
              <w:sz w:val="18"/>
              <w:szCs w:val="18"/>
              <w:lang w:val="fr-FR" w:bidi="ar-SA"/>
            </w:rPr>
            <w:t>Mars 2026</w:t>
          </w:r>
        </w:p>
      </w:tc>
    </w:tr>
  </w:tbl>
  <w:p>
    <w:pPr>
      <w:pStyle w:val="Footer"/>
      <w:rPr/>
    </w:pPr>
    <w:r>
      <w:rPr/>
      <mc:AlternateContent>
        <mc:Choice Requires="wps">
          <w:drawing>
            <wp:anchor distT="0" distB="0" distL="0" distR="0" simplePos="0" relativeHeight="79" behindDoc="1" locked="0" layoutInCell="0" allowOverlap="1">
              <wp:simplePos x="0" y="0"/>
              <wp:positionH relativeFrom="rightMargin">
                <wp:posOffset>205740</wp:posOffset>
              </wp:positionH>
              <wp:positionV relativeFrom="page">
                <wp:posOffset>10008870</wp:posOffset>
              </wp:positionV>
              <wp:extent cx="1262380" cy="1231900"/>
              <wp:effectExtent l="0" t="635" r="635" b="635"/>
              <wp:wrapNone/>
              <wp:docPr id="42" name="Ellipse 11"/>
              <a:graphic xmlns:a="http://schemas.openxmlformats.org/drawingml/2006/main">
                <a:graphicData uri="http://schemas.microsoft.com/office/word/2010/wordprocessingShape">
                  <wps:wsp>
                    <wps:cNvSpPr/>
                    <wps:spPr>
                      <a:xfrm>
                        <a:off x="0" y="0"/>
                        <a:ext cx="1262520" cy="1231920"/>
                      </a:xfrm>
                      <a:prstGeom prst="ellipse">
                        <a:avLst/>
                      </a:prstGeom>
                      <a:solidFill>
                        <a:srgbClr val="BFBFBF"/>
                      </a:solidFill>
                      <a:ln w="0">
                        <a:noFill/>
                      </a:ln>
                    </wps:spPr>
                    <wps:style>
                      <a:lnRef idx="0"/>
                      <a:fillRef idx="0"/>
                      <a:effectRef idx="0"/>
                      <a:fontRef idx="minor"/>
                    </wps:style>
                    <wps:txbx>
                      <w:txbxContent>
                        <w:p>
                          <w:pPr>
                            <w:pStyle w:val="Contenudecadre"/>
                            <w:spacing w:before="240" w:after="0"/>
                            <w:jc w:val="left"/>
                            <w:rPr/>
                          </w:pPr>
                          <w:r>
                            <w:rPr>
                              <w:szCs w:val="22"/>
                            </w:rPr>
                            <w:t xml:space="preserve">  </w:t>
                          </w:r>
                          <w:r>
                            <w:rPr>
                              <w:b/>
                              <w:color w:val="FFFFFF"/>
                              <w:sz w:val="28"/>
                              <w:szCs w:val="22"/>
                            </w:rPr>
                            <w:fldChar w:fldCharType="begin"/>
                          </w:r>
                          <w:r>
                            <w:rPr>
                              <w:b/>
                              <w:color w:val="FFFFFF"/>
                              <w:sz w:val="28"/>
                              <w:szCs w:val="22"/>
                            </w:rPr>
                            <w:instrText xml:space="preserve"> PAGE </w:instrText>
                          </w:r>
                          <w:r>
                            <w:rPr>
                              <w:b/>
                              <w:color w:val="FFFFFF"/>
                              <w:sz w:val="28"/>
                              <w:szCs w:val="22"/>
                            </w:rPr>
                            <w:fldChar w:fldCharType="separate"/>
                          </w:r>
                          <w:r>
                            <w:rPr>
                              <w:b/>
                              <w:color w:val="FFFFFF"/>
                              <w:sz w:val="28"/>
                              <w:szCs w:val="22"/>
                            </w:rPr>
                            <w:t>32</w:t>
                          </w:r>
                          <w:r>
                            <w:rPr>
                              <w:b/>
                              <w:color w:val="FFFFFF"/>
                              <w:sz w:val="28"/>
                              <w:szCs w:val="22"/>
                            </w:rPr>
                            <w:fldChar w:fldCharType="end"/>
                          </w:r>
                        </w:p>
                      </w:txbxContent>
                    </wps:txbx>
                    <wps:bodyPr lIns="0" tIns="0" rIns="0" bIns="0" anchor="t">
                      <a:noAutofit/>
                    </wps:bodyPr>
                  </wps:wsp>
                </a:graphicData>
              </a:graphic>
            </wp:anchor>
          </w:drawing>
        </mc:Choice>
        <mc:Fallback>
          <w:pict>
            <v:oval id="shape_0" fillcolor="#bfbfbf" stroked="f" o:allowincell="f" style="position:absolute;margin-left:16.2pt;margin-top:788.1pt;width:99.35pt;height:96.95pt;mso-wrap-style:square;v-text-anchor:top;mso-position-horizontal-relative:page;mso-position-vertical-relative:page">
              <v:fill o:detectmouseclick="t" type="solid" color2="#404040"/>
              <v:stroke color="#3465a4" joinstyle="round" endcap="flat"/>
              <v:textbox>
                <w:txbxContent>
                  <w:p>
                    <w:pPr>
                      <w:pStyle w:val="Contenudecadre"/>
                      <w:spacing w:before="240" w:after="0"/>
                      <w:jc w:val="left"/>
                      <w:rPr/>
                    </w:pPr>
                    <w:r>
                      <w:rPr>
                        <w:szCs w:val="22"/>
                      </w:rPr>
                      <w:t xml:space="preserve">  </w:t>
                    </w:r>
                    <w:r>
                      <w:rPr>
                        <w:b/>
                        <w:color w:val="FFFFFF"/>
                        <w:sz w:val="28"/>
                        <w:szCs w:val="22"/>
                      </w:rPr>
                      <w:fldChar w:fldCharType="begin"/>
                    </w:r>
                    <w:r>
                      <w:rPr>
                        <w:b/>
                        <w:color w:val="FFFFFF"/>
                        <w:sz w:val="28"/>
                        <w:szCs w:val="22"/>
                      </w:rPr>
                      <w:instrText xml:space="preserve"> PAGE </w:instrText>
                    </w:r>
                    <w:r>
                      <w:rPr>
                        <w:b/>
                        <w:color w:val="FFFFFF"/>
                        <w:sz w:val="28"/>
                        <w:szCs w:val="22"/>
                      </w:rPr>
                      <w:fldChar w:fldCharType="separate"/>
                    </w:r>
                    <w:r>
                      <w:rPr>
                        <w:b/>
                        <w:color w:val="FFFFFF"/>
                        <w:sz w:val="28"/>
                        <w:szCs w:val="22"/>
                      </w:rPr>
                      <w:t>32</w:t>
                    </w:r>
                    <w:r>
                      <w:rPr>
                        <w:b/>
                        <w:color w:val="FFFFFF"/>
                        <w:sz w:val="28"/>
                        <w:szCs w:val="22"/>
                      </w:rPr>
                      <w:fldChar w:fldCharType="end"/>
                    </w:r>
                  </w:p>
                </w:txbxContent>
              </v:textbox>
              <w10:wrap type="none"/>
            </v:oval>
          </w:pict>
        </mc:Fallback>
      </mc:AlternateContent>
    </w:r>
    <w:bookmarkStart w:id="71" w:name="_Hlk53602621414222222222"/>
    <w:bookmarkStart w:id="72" w:name="_Hlk53602621314222222222"/>
    <w:bookmarkEnd w:id="71"/>
    <w:bookmarkEnd w:id="72"/>
  </w:p>
  <w:p>
    <w:pPr>
      <w:pStyle w:val="BodyText"/>
      <w:spacing w:lineRule="auto" w:line="5"/>
      <w:rPr/>
    </w:pPr>
    <w:r>
      <w:rPr/>
    </w:r>
  </w:p>
</w:ftr>
</file>

<file path=word/footer2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2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0490" w:type="dxa"/>
      <w:jc w:val="left"/>
      <w:tblInd w:w="-459" w:type="dxa"/>
      <w:tblLayout w:type="fixed"/>
      <w:tblCellMar>
        <w:top w:w="0" w:type="dxa"/>
        <w:left w:w="108" w:type="dxa"/>
        <w:bottom w:w="0" w:type="dxa"/>
        <w:right w:w="108" w:type="dxa"/>
      </w:tblCellMar>
    </w:tblPr>
    <w:tblGrid>
      <w:gridCol w:w="3223"/>
      <w:gridCol w:w="4003"/>
      <w:gridCol w:w="3264"/>
    </w:tblGrid>
    <w:tr>
      <w:trPr/>
      <w:tc>
        <w:tcPr>
          <w:tcW w:w="3223" w:type="dxa"/>
          <w:tcBorders/>
          <w:vAlign w:val="center"/>
        </w:tcPr>
        <w:p>
          <w:pPr>
            <w:pStyle w:val="Footer"/>
            <w:widowControl w:val="false"/>
            <w:tabs>
              <w:tab w:val="clear" w:pos="4536"/>
              <w:tab w:val="clear" w:pos="9072"/>
              <w:tab w:val="center" w:pos="2976" w:leader="none"/>
            </w:tabs>
            <w:suppressAutoHyphens w:val="true"/>
            <w:spacing w:before="0" w:after="0"/>
            <w:ind w:hanging="0" w:left="0" w:right="35"/>
            <w:jc w:val="center"/>
            <w:rPr>
              <w:rFonts w:cs="Times New Roman"/>
              <w:b/>
              <w:bCs w:val="false"/>
              <w:kern w:val="0"/>
              <w:sz w:val="18"/>
              <w:szCs w:val="18"/>
              <w:lang w:val="fr-FR" w:bidi="ar-SA"/>
            </w:rPr>
          </w:pPr>
          <w:bookmarkStart w:id="73" w:name="_Hlk53602621452222222222"/>
          <w:bookmarkStart w:id="74" w:name="_Hlk53602621352222222222"/>
          <w:bookmarkEnd w:id="73"/>
          <w:bookmarkEnd w:id="74"/>
          <w:r>
            <w:rPr>
              <w:rFonts w:cs="Times New Roman"/>
              <w:b/>
              <w:bCs w:val="false"/>
              <w:kern w:val="0"/>
              <w:sz w:val="18"/>
              <w:szCs w:val="18"/>
              <w:lang w:val="fr-FR" w:bidi="ar-SA"/>
            </w:rPr>
            <w:t>Direction Interdépartementales des Routes</w:t>
          </w:r>
        </w:p>
        <w:p>
          <w:pPr>
            <w:pStyle w:val="Footer"/>
            <w:widowControl w:val="false"/>
            <w:tabs>
              <w:tab w:val="clear" w:pos="4536"/>
              <w:tab w:val="clear" w:pos="9072"/>
              <w:tab w:val="center" w:pos="2976" w:leader="none"/>
            </w:tabs>
            <w:suppressAutoHyphens w:val="true"/>
            <w:spacing w:before="0" w:after="0"/>
            <w:ind w:hanging="0" w:left="0" w:right="35"/>
            <w:jc w:val="center"/>
            <w:rPr>
              <w:rFonts w:cs="Times New Roman"/>
              <w:b/>
              <w:bCs w:val="false"/>
              <w:kern w:val="0"/>
              <w:sz w:val="18"/>
              <w:szCs w:val="18"/>
              <w:lang w:val="fr-FR" w:bidi="ar-SA"/>
            </w:rPr>
          </w:pPr>
          <w:r>
            <w:rPr>
              <w:rFonts w:cs="Times New Roman"/>
              <w:b/>
              <w:bCs w:val="false"/>
              <w:kern w:val="0"/>
              <w:sz w:val="18"/>
              <w:szCs w:val="18"/>
              <w:lang w:val="fr-FR" w:bidi="ar-SA"/>
            </w:rPr>
            <w:t>Centre -Ouest</w:t>
          </w:r>
        </w:p>
      </w:tc>
      <w:tc>
        <w:tcPr>
          <w:tcW w:w="4003" w:type="dxa"/>
          <w:tcBorders/>
          <w:vAlign w:val="center"/>
        </w:tcPr>
        <w:p>
          <w:pPr>
            <w:pStyle w:val="Footer"/>
            <w:widowControl w:val="false"/>
            <w:suppressAutoHyphens w:val="true"/>
            <w:spacing w:before="0" w:after="0"/>
            <w:ind w:hanging="0" w:left="0" w:right="-251"/>
            <w:jc w:val="center"/>
            <w:rPr/>
          </w:pPr>
          <w:r>
            <w:rPr/>
            <w:drawing>
              <wp:inline distT="0" distB="0" distL="0" distR="0">
                <wp:extent cx="405765" cy="539750"/>
                <wp:effectExtent l="0" t="0" r="0" b="0"/>
                <wp:docPr id="44" name="Image26" descr="Modèle de communiqué de pres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Image26" descr="Modèle de communiqué de presse"/>
                        <pic:cNvPicPr>
                          <a:picLocks noChangeAspect="1" noChangeArrowheads="1"/>
                        </pic:cNvPicPr>
                      </pic:nvPicPr>
                      <pic:blipFill>
                        <a:blip r:embed="rId1"/>
                        <a:stretch>
                          <a:fillRect/>
                        </a:stretch>
                      </pic:blipFill>
                      <pic:spPr bwMode="auto">
                        <a:xfrm>
                          <a:off x="0" y="0"/>
                          <a:ext cx="405765" cy="539750"/>
                        </a:xfrm>
                        <a:prstGeom prst="rect">
                          <a:avLst/>
                        </a:prstGeom>
                        <a:noFill/>
                      </pic:spPr>
                    </pic:pic>
                  </a:graphicData>
                </a:graphic>
              </wp:inline>
            </w:drawing>
          </w:r>
        </w:p>
      </w:tc>
      <w:tc>
        <w:tcPr>
          <w:tcW w:w="3264" w:type="dxa"/>
          <w:tcBorders/>
          <w:vAlign w:val="center"/>
        </w:tcPr>
        <w:p>
          <w:pPr>
            <w:pStyle w:val="Footer"/>
            <w:widowControl w:val="false"/>
            <w:suppressAutoHyphens w:val="true"/>
            <w:spacing w:before="240" w:after="0"/>
            <w:ind w:firstLine="639" w:left="0" w:right="0"/>
            <w:jc w:val="center"/>
            <w:rPr>
              <w:rFonts w:cs="Times New Roman"/>
              <w:b/>
              <w:bCs w:val="false"/>
              <w:kern w:val="0"/>
              <w:sz w:val="18"/>
              <w:szCs w:val="18"/>
              <w:lang w:val="fr-FR" w:bidi="ar-SA"/>
            </w:rPr>
          </w:pPr>
          <w:r>
            <w:rPr>
              <w:rFonts w:cs="Times New Roman"/>
              <w:b/>
              <w:bCs w:val="false"/>
              <w:kern w:val="0"/>
              <w:sz w:val="18"/>
              <w:szCs w:val="18"/>
              <w:lang w:val="fr-FR" w:bidi="ar-SA"/>
            </w:rPr>
            <w:t>B.P.U</w:t>
          </w:r>
        </w:p>
        <w:p>
          <w:pPr>
            <w:pStyle w:val="Footer"/>
            <w:widowControl w:val="false"/>
            <w:suppressAutoHyphens w:val="true"/>
            <w:spacing w:before="0" w:after="0"/>
            <w:ind w:hanging="0" w:left="602" w:right="995"/>
            <w:jc w:val="right"/>
            <w:rPr>
              <w:rFonts w:cs="Times New Roman"/>
              <w:b/>
              <w:bCs w:val="false"/>
              <w:kern w:val="0"/>
              <w:sz w:val="18"/>
              <w:szCs w:val="18"/>
              <w:lang w:val="fr-FR" w:bidi="ar-SA"/>
            </w:rPr>
          </w:pPr>
          <w:r>
            <w:rPr>
              <w:rFonts w:cs="Times New Roman"/>
              <w:b/>
              <w:bCs w:val="false"/>
              <w:kern w:val="0"/>
              <w:sz w:val="18"/>
              <w:szCs w:val="18"/>
              <w:lang w:val="fr-FR" w:bidi="ar-SA"/>
            </w:rPr>
            <w:t>Ind. B</w:t>
          </w:r>
        </w:p>
        <w:p>
          <w:pPr>
            <w:pStyle w:val="Footer"/>
            <w:widowControl w:val="false"/>
            <w:suppressAutoHyphens w:val="true"/>
            <w:spacing w:before="0" w:after="0"/>
            <w:ind w:hanging="0" w:left="602" w:right="745"/>
            <w:jc w:val="right"/>
            <w:rPr>
              <w:rFonts w:cs="Times New Roman"/>
              <w:b/>
              <w:bCs w:val="false"/>
              <w:kern w:val="0"/>
              <w:sz w:val="18"/>
              <w:szCs w:val="18"/>
              <w:lang w:val="fr-FR" w:bidi="ar-SA"/>
            </w:rPr>
          </w:pPr>
          <w:r>
            <w:rPr>
              <w:rFonts w:cs="Times New Roman"/>
              <w:b/>
              <w:bCs w:val="false"/>
              <w:kern w:val="0"/>
              <w:sz w:val="18"/>
              <w:szCs w:val="18"/>
              <w:lang w:val="fr-FR" w:bidi="ar-SA"/>
            </w:rPr>
            <w:t>Mars 2026</w:t>
          </w:r>
        </w:p>
      </w:tc>
    </w:tr>
  </w:tbl>
  <w:p>
    <w:pPr>
      <w:pStyle w:val="Footer"/>
      <w:rPr/>
    </w:pPr>
    <w:r>
      <w:rPr/>
      <mc:AlternateContent>
        <mc:Choice Requires="wps">
          <w:drawing>
            <wp:anchor distT="0" distB="0" distL="0" distR="0" simplePos="0" relativeHeight="71" behindDoc="1" locked="0" layoutInCell="0" allowOverlap="1">
              <wp:simplePos x="0" y="0"/>
              <wp:positionH relativeFrom="rightMargin">
                <wp:posOffset>205740</wp:posOffset>
              </wp:positionH>
              <wp:positionV relativeFrom="page">
                <wp:posOffset>10008870</wp:posOffset>
              </wp:positionV>
              <wp:extent cx="1262380" cy="1231900"/>
              <wp:effectExtent l="0" t="635" r="635" b="635"/>
              <wp:wrapNone/>
              <wp:docPr id="45" name="Ellipse 12"/>
              <a:graphic xmlns:a="http://schemas.openxmlformats.org/drawingml/2006/main">
                <a:graphicData uri="http://schemas.microsoft.com/office/word/2010/wordprocessingShape">
                  <wps:wsp>
                    <wps:cNvSpPr/>
                    <wps:spPr>
                      <a:xfrm>
                        <a:off x="0" y="0"/>
                        <a:ext cx="1262520" cy="1231920"/>
                      </a:xfrm>
                      <a:prstGeom prst="ellipse">
                        <a:avLst/>
                      </a:prstGeom>
                      <a:solidFill>
                        <a:srgbClr val="BFBFBF"/>
                      </a:solidFill>
                      <a:ln w="0">
                        <a:noFill/>
                      </a:ln>
                    </wps:spPr>
                    <wps:style>
                      <a:lnRef idx="0"/>
                      <a:fillRef idx="0"/>
                      <a:effectRef idx="0"/>
                      <a:fontRef idx="minor"/>
                    </wps:style>
                    <wps:txbx>
                      <w:txbxContent>
                        <w:p>
                          <w:pPr>
                            <w:pStyle w:val="Contenudecadre"/>
                            <w:spacing w:before="240" w:after="0"/>
                            <w:jc w:val="left"/>
                            <w:rPr/>
                          </w:pPr>
                          <w:r>
                            <w:rPr>
                              <w:szCs w:val="22"/>
                            </w:rPr>
                            <w:t xml:space="preserve">  </w:t>
                          </w:r>
                          <w:r>
                            <w:rPr>
                              <w:b/>
                              <w:color w:val="FFFFFF"/>
                              <w:sz w:val="28"/>
                              <w:szCs w:val="22"/>
                            </w:rPr>
                            <w:fldChar w:fldCharType="begin"/>
                          </w:r>
                          <w:r>
                            <w:rPr>
                              <w:b/>
                              <w:color w:val="FFFFFF"/>
                              <w:sz w:val="28"/>
                              <w:szCs w:val="22"/>
                            </w:rPr>
                            <w:instrText xml:space="preserve"> PAGE </w:instrText>
                          </w:r>
                          <w:r>
                            <w:rPr>
                              <w:b/>
                              <w:color w:val="FFFFFF"/>
                              <w:sz w:val="28"/>
                              <w:szCs w:val="22"/>
                            </w:rPr>
                            <w:fldChar w:fldCharType="separate"/>
                          </w:r>
                          <w:r>
                            <w:rPr>
                              <w:b/>
                              <w:color w:val="FFFFFF"/>
                              <w:sz w:val="28"/>
                              <w:szCs w:val="22"/>
                            </w:rPr>
                            <w:t>33</w:t>
                          </w:r>
                          <w:r>
                            <w:rPr>
                              <w:b/>
                              <w:color w:val="FFFFFF"/>
                              <w:sz w:val="28"/>
                              <w:szCs w:val="22"/>
                            </w:rPr>
                            <w:fldChar w:fldCharType="end"/>
                          </w:r>
                        </w:p>
                      </w:txbxContent>
                    </wps:txbx>
                    <wps:bodyPr lIns="0" tIns="0" rIns="0" bIns="0" anchor="t">
                      <a:noAutofit/>
                    </wps:bodyPr>
                  </wps:wsp>
                </a:graphicData>
              </a:graphic>
            </wp:anchor>
          </w:drawing>
        </mc:Choice>
        <mc:Fallback>
          <w:pict>
            <v:oval id="shape_0" fillcolor="#bfbfbf" stroked="f" o:allowincell="f" style="position:absolute;margin-left:16.2pt;margin-top:788.1pt;width:99.35pt;height:96.95pt;mso-wrap-style:square;v-text-anchor:top;mso-position-horizontal-relative:page;mso-position-vertical-relative:page">
              <v:fill o:detectmouseclick="t" type="solid" color2="#404040"/>
              <v:stroke color="#3465a4" joinstyle="round" endcap="flat"/>
              <v:textbox>
                <w:txbxContent>
                  <w:p>
                    <w:pPr>
                      <w:pStyle w:val="Contenudecadre"/>
                      <w:spacing w:before="240" w:after="0"/>
                      <w:jc w:val="left"/>
                      <w:rPr/>
                    </w:pPr>
                    <w:r>
                      <w:rPr>
                        <w:szCs w:val="22"/>
                      </w:rPr>
                      <w:t xml:space="preserve">  </w:t>
                    </w:r>
                    <w:r>
                      <w:rPr>
                        <w:b/>
                        <w:color w:val="FFFFFF"/>
                        <w:sz w:val="28"/>
                        <w:szCs w:val="22"/>
                      </w:rPr>
                      <w:fldChar w:fldCharType="begin"/>
                    </w:r>
                    <w:r>
                      <w:rPr>
                        <w:b/>
                        <w:color w:val="FFFFFF"/>
                        <w:sz w:val="28"/>
                        <w:szCs w:val="22"/>
                      </w:rPr>
                      <w:instrText xml:space="preserve"> PAGE </w:instrText>
                    </w:r>
                    <w:r>
                      <w:rPr>
                        <w:b/>
                        <w:color w:val="FFFFFF"/>
                        <w:sz w:val="28"/>
                        <w:szCs w:val="22"/>
                      </w:rPr>
                      <w:fldChar w:fldCharType="separate"/>
                    </w:r>
                    <w:r>
                      <w:rPr>
                        <w:b/>
                        <w:color w:val="FFFFFF"/>
                        <w:sz w:val="28"/>
                        <w:szCs w:val="22"/>
                      </w:rPr>
                      <w:t>33</w:t>
                    </w:r>
                    <w:r>
                      <w:rPr>
                        <w:b/>
                        <w:color w:val="FFFFFF"/>
                        <w:sz w:val="28"/>
                        <w:szCs w:val="22"/>
                      </w:rPr>
                      <w:fldChar w:fldCharType="end"/>
                    </w:r>
                  </w:p>
                </w:txbxContent>
              </v:textbox>
              <w10:wrap type="none"/>
            </v:oval>
          </w:pict>
        </mc:Fallback>
      </mc:AlternateContent>
    </w:r>
    <w:bookmarkStart w:id="75" w:name="_Hlk536026213142222222222"/>
    <w:bookmarkStart w:id="76" w:name="_Hlk536026214142222222222"/>
    <w:bookmarkEnd w:id="75"/>
    <w:bookmarkEnd w:id="76"/>
  </w:p>
  <w:p>
    <w:pPr>
      <w:pStyle w:val="BodyText"/>
      <w:spacing w:lineRule="auto" w:line="5"/>
      <w:rPr/>
    </w:pPr>
    <w:r>
      <w:rPr/>
    </w:r>
  </w:p>
</w:ftr>
</file>

<file path=word/footer2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0490" w:type="dxa"/>
      <w:jc w:val="left"/>
      <w:tblInd w:w="-459" w:type="dxa"/>
      <w:tblLayout w:type="fixed"/>
      <w:tblCellMar>
        <w:top w:w="0" w:type="dxa"/>
        <w:left w:w="108" w:type="dxa"/>
        <w:bottom w:w="0" w:type="dxa"/>
        <w:right w:w="108" w:type="dxa"/>
      </w:tblCellMar>
    </w:tblPr>
    <w:tblGrid>
      <w:gridCol w:w="3223"/>
      <w:gridCol w:w="4003"/>
      <w:gridCol w:w="3264"/>
    </w:tblGrid>
    <w:tr>
      <w:trPr/>
      <w:tc>
        <w:tcPr>
          <w:tcW w:w="3223" w:type="dxa"/>
          <w:tcBorders/>
          <w:vAlign w:val="center"/>
        </w:tcPr>
        <w:p>
          <w:pPr>
            <w:pStyle w:val="Footer"/>
            <w:widowControl w:val="false"/>
            <w:tabs>
              <w:tab w:val="clear" w:pos="4536"/>
              <w:tab w:val="clear" w:pos="9072"/>
              <w:tab w:val="center" w:pos="2976" w:leader="none"/>
            </w:tabs>
            <w:suppressAutoHyphens w:val="true"/>
            <w:spacing w:before="0" w:after="0"/>
            <w:ind w:hanging="0" w:left="0" w:right="35"/>
            <w:jc w:val="center"/>
            <w:rPr>
              <w:rFonts w:cs="Times New Roman"/>
              <w:b/>
              <w:bCs w:val="false"/>
              <w:kern w:val="0"/>
              <w:sz w:val="18"/>
              <w:szCs w:val="18"/>
              <w:lang w:val="fr-FR" w:bidi="ar-SA"/>
            </w:rPr>
          </w:pPr>
          <w:bookmarkStart w:id="23" w:name="_Hlk5360262145"/>
          <w:bookmarkStart w:id="24" w:name="_Hlk5360262135"/>
          <w:bookmarkEnd w:id="23"/>
          <w:bookmarkEnd w:id="24"/>
          <w:r>
            <w:rPr>
              <w:rFonts w:cs="Times New Roman"/>
              <w:b/>
              <w:bCs w:val="false"/>
              <w:kern w:val="0"/>
              <w:sz w:val="18"/>
              <w:szCs w:val="18"/>
              <w:lang w:val="fr-FR" w:bidi="ar-SA"/>
            </w:rPr>
            <w:t>Direction Interdépartementales des Routes</w:t>
          </w:r>
        </w:p>
        <w:p>
          <w:pPr>
            <w:pStyle w:val="Footer"/>
            <w:widowControl w:val="false"/>
            <w:tabs>
              <w:tab w:val="clear" w:pos="4536"/>
              <w:tab w:val="clear" w:pos="9072"/>
              <w:tab w:val="center" w:pos="2976" w:leader="none"/>
            </w:tabs>
            <w:suppressAutoHyphens w:val="true"/>
            <w:spacing w:before="0" w:after="0"/>
            <w:ind w:hanging="0" w:left="0" w:right="35"/>
            <w:jc w:val="center"/>
            <w:rPr>
              <w:rFonts w:cs="Times New Roman"/>
              <w:b/>
              <w:bCs w:val="false"/>
              <w:kern w:val="0"/>
              <w:sz w:val="18"/>
              <w:szCs w:val="18"/>
              <w:lang w:val="fr-FR" w:bidi="ar-SA"/>
            </w:rPr>
          </w:pPr>
          <w:r>
            <w:rPr>
              <w:rFonts w:cs="Times New Roman"/>
              <w:b/>
              <w:bCs w:val="false"/>
              <w:kern w:val="0"/>
              <w:sz w:val="18"/>
              <w:szCs w:val="18"/>
              <w:lang w:val="fr-FR" w:bidi="ar-SA"/>
            </w:rPr>
            <w:t>Centre -Ouest</w:t>
          </w:r>
        </w:p>
      </w:tc>
      <w:tc>
        <w:tcPr>
          <w:tcW w:w="4003" w:type="dxa"/>
          <w:tcBorders/>
          <w:vAlign w:val="center"/>
        </w:tcPr>
        <w:p>
          <w:pPr>
            <w:pStyle w:val="Footer"/>
            <w:widowControl w:val="false"/>
            <w:suppressAutoHyphens w:val="true"/>
            <w:spacing w:before="0" w:after="0"/>
            <w:ind w:hanging="0" w:left="0" w:right="-251"/>
            <w:jc w:val="center"/>
            <w:rPr/>
          </w:pPr>
          <w:r>
            <w:rPr/>
            <w:drawing>
              <wp:inline distT="0" distB="0" distL="0" distR="0">
                <wp:extent cx="405765" cy="539750"/>
                <wp:effectExtent l="0" t="0" r="0" b="0"/>
                <wp:docPr id="14" name="Image6" descr="Modèle de communiqué de pres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6" descr="Modèle de communiqué de presse"/>
                        <pic:cNvPicPr>
                          <a:picLocks noChangeAspect="1" noChangeArrowheads="1"/>
                        </pic:cNvPicPr>
                      </pic:nvPicPr>
                      <pic:blipFill>
                        <a:blip r:embed="rId1"/>
                        <a:stretch>
                          <a:fillRect/>
                        </a:stretch>
                      </pic:blipFill>
                      <pic:spPr bwMode="auto">
                        <a:xfrm>
                          <a:off x="0" y="0"/>
                          <a:ext cx="405765" cy="539750"/>
                        </a:xfrm>
                        <a:prstGeom prst="rect">
                          <a:avLst/>
                        </a:prstGeom>
                        <a:noFill/>
                      </pic:spPr>
                    </pic:pic>
                  </a:graphicData>
                </a:graphic>
              </wp:inline>
            </w:drawing>
          </w:r>
        </w:p>
      </w:tc>
      <w:tc>
        <w:tcPr>
          <w:tcW w:w="3264" w:type="dxa"/>
          <w:tcBorders/>
          <w:vAlign w:val="center"/>
        </w:tcPr>
        <w:p>
          <w:pPr>
            <w:pStyle w:val="Footer"/>
            <w:widowControl w:val="false"/>
            <w:suppressAutoHyphens w:val="true"/>
            <w:spacing w:before="240" w:after="0"/>
            <w:ind w:firstLine="639" w:left="0" w:right="0"/>
            <w:jc w:val="center"/>
            <w:rPr>
              <w:rFonts w:cs="Times New Roman"/>
              <w:b/>
              <w:bCs w:val="false"/>
              <w:kern w:val="0"/>
              <w:sz w:val="18"/>
              <w:szCs w:val="18"/>
              <w:lang w:val="fr-FR" w:bidi="ar-SA"/>
            </w:rPr>
          </w:pPr>
          <w:r>
            <w:rPr>
              <w:rFonts w:cs="Times New Roman"/>
              <w:b/>
              <w:bCs w:val="false"/>
              <w:kern w:val="0"/>
              <w:sz w:val="18"/>
              <w:szCs w:val="18"/>
              <w:lang w:val="fr-FR" w:bidi="ar-SA"/>
            </w:rPr>
            <w:t>B.P.U</w:t>
          </w:r>
        </w:p>
        <w:p>
          <w:pPr>
            <w:pStyle w:val="Footer"/>
            <w:widowControl w:val="false"/>
            <w:suppressAutoHyphens w:val="true"/>
            <w:spacing w:before="0" w:after="0"/>
            <w:ind w:hanging="0" w:left="602" w:right="995"/>
            <w:jc w:val="right"/>
            <w:rPr>
              <w:rFonts w:cs="Times New Roman"/>
              <w:b/>
              <w:bCs w:val="false"/>
              <w:kern w:val="0"/>
              <w:sz w:val="18"/>
              <w:szCs w:val="18"/>
              <w:lang w:val="fr-FR" w:bidi="ar-SA"/>
            </w:rPr>
          </w:pPr>
          <w:r>
            <w:rPr>
              <w:rFonts w:cs="Times New Roman"/>
              <w:b/>
              <w:bCs w:val="false"/>
              <w:kern w:val="0"/>
              <w:sz w:val="18"/>
              <w:szCs w:val="18"/>
              <w:lang w:val="fr-FR" w:bidi="ar-SA"/>
            </w:rPr>
            <w:t>Ind. B</w:t>
          </w:r>
        </w:p>
        <w:p>
          <w:pPr>
            <w:pStyle w:val="Footer"/>
            <w:widowControl w:val="false"/>
            <w:suppressAutoHyphens w:val="true"/>
            <w:spacing w:before="0" w:after="0"/>
            <w:ind w:hanging="0" w:left="602" w:right="745"/>
            <w:jc w:val="right"/>
            <w:rPr>
              <w:rFonts w:cs="Times New Roman"/>
              <w:b/>
              <w:bCs w:val="false"/>
              <w:kern w:val="0"/>
              <w:sz w:val="18"/>
              <w:szCs w:val="18"/>
              <w:lang w:val="fr-FR" w:bidi="ar-SA"/>
            </w:rPr>
          </w:pPr>
          <w:r>
            <w:rPr>
              <w:rFonts w:cs="Times New Roman"/>
              <w:b/>
              <w:bCs w:val="false"/>
              <w:kern w:val="0"/>
              <w:sz w:val="18"/>
              <w:szCs w:val="18"/>
              <w:lang w:val="fr-FR" w:bidi="ar-SA"/>
            </w:rPr>
            <w:t>Mars 2026</w:t>
          </w:r>
        </w:p>
      </w:tc>
    </w:tr>
  </w:tbl>
  <w:p>
    <w:pPr>
      <w:pStyle w:val="Footer"/>
      <w:rPr/>
    </w:pPr>
    <w:r>
      <w:rPr/>
      <mc:AlternateContent>
        <mc:Choice Requires="wps">
          <w:drawing>
            <wp:anchor distT="0" distB="0" distL="0" distR="0" simplePos="0" relativeHeight="33" behindDoc="1" locked="0" layoutInCell="0" allowOverlap="1">
              <wp:simplePos x="0" y="0"/>
              <wp:positionH relativeFrom="rightMargin">
                <wp:posOffset>205740</wp:posOffset>
              </wp:positionH>
              <wp:positionV relativeFrom="page">
                <wp:posOffset>10008870</wp:posOffset>
              </wp:positionV>
              <wp:extent cx="1262380" cy="1231900"/>
              <wp:effectExtent l="0" t="635" r="635" b="635"/>
              <wp:wrapNone/>
              <wp:docPr id="15" name="Ellipse 2"/>
              <a:graphic xmlns:a="http://schemas.openxmlformats.org/drawingml/2006/main">
                <a:graphicData uri="http://schemas.microsoft.com/office/word/2010/wordprocessingShape">
                  <wps:wsp>
                    <wps:cNvSpPr/>
                    <wps:spPr>
                      <a:xfrm>
                        <a:off x="0" y="0"/>
                        <a:ext cx="1262520" cy="1231920"/>
                      </a:xfrm>
                      <a:prstGeom prst="ellipse">
                        <a:avLst/>
                      </a:prstGeom>
                      <a:solidFill>
                        <a:srgbClr val="BFBFBF"/>
                      </a:solidFill>
                      <a:ln w="0">
                        <a:noFill/>
                      </a:ln>
                    </wps:spPr>
                    <wps:style>
                      <a:lnRef idx="0"/>
                      <a:fillRef idx="0"/>
                      <a:effectRef idx="0"/>
                      <a:fontRef idx="minor"/>
                    </wps:style>
                    <wps:txbx>
                      <w:txbxContent>
                        <w:p>
                          <w:pPr>
                            <w:pStyle w:val="Contenudecadre"/>
                            <w:spacing w:before="240" w:after="0"/>
                            <w:jc w:val="left"/>
                            <w:rPr/>
                          </w:pPr>
                          <w:r>
                            <w:rPr>
                              <w:szCs w:val="22"/>
                            </w:rPr>
                            <w:t xml:space="preserve">  </w:t>
                          </w:r>
                          <w:r>
                            <w:rPr>
                              <w:b/>
                              <w:color w:val="FFFFFF"/>
                              <w:sz w:val="28"/>
                              <w:szCs w:val="22"/>
                            </w:rPr>
                            <w:fldChar w:fldCharType="begin"/>
                          </w:r>
                          <w:r>
                            <w:rPr>
                              <w:b/>
                              <w:color w:val="FFFFFF"/>
                              <w:sz w:val="28"/>
                              <w:szCs w:val="22"/>
                            </w:rPr>
                            <w:instrText xml:space="preserve"> PAGE </w:instrText>
                          </w:r>
                          <w:r>
                            <w:rPr>
                              <w:b/>
                              <w:color w:val="FFFFFF"/>
                              <w:sz w:val="28"/>
                              <w:szCs w:val="22"/>
                            </w:rPr>
                            <w:fldChar w:fldCharType="separate"/>
                          </w:r>
                          <w:r>
                            <w:rPr>
                              <w:b/>
                              <w:color w:val="FFFFFF"/>
                              <w:sz w:val="28"/>
                              <w:szCs w:val="22"/>
                            </w:rPr>
                            <w:t>14</w:t>
                          </w:r>
                          <w:r>
                            <w:rPr>
                              <w:b/>
                              <w:color w:val="FFFFFF"/>
                              <w:sz w:val="28"/>
                              <w:szCs w:val="22"/>
                            </w:rPr>
                            <w:fldChar w:fldCharType="end"/>
                          </w:r>
                        </w:p>
                      </w:txbxContent>
                    </wps:txbx>
                    <wps:bodyPr lIns="0" tIns="0" rIns="0" bIns="0" anchor="t">
                      <a:noAutofit/>
                    </wps:bodyPr>
                  </wps:wsp>
                </a:graphicData>
              </a:graphic>
            </wp:anchor>
          </w:drawing>
        </mc:Choice>
        <mc:Fallback>
          <w:pict>
            <v:oval id="shape_0" fillcolor="#bfbfbf" stroked="f" o:allowincell="f" style="position:absolute;margin-left:16.2pt;margin-top:788.1pt;width:99.35pt;height:96.95pt;mso-wrap-style:square;v-text-anchor:top;mso-position-horizontal-relative:page;mso-position-vertical-relative:page">
              <v:fill o:detectmouseclick="t" type="solid" color2="#404040"/>
              <v:stroke color="#3465a4" joinstyle="round" endcap="flat"/>
              <v:textbox>
                <w:txbxContent>
                  <w:p>
                    <w:pPr>
                      <w:pStyle w:val="Contenudecadre"/>
                      <w:spacing w:before="240" w:after="0"/>
                      <w:jc w:val="left"/>
                      <w:rPr/>
                    </w:pPr>
                    <w:r>
                      <w:rPr>
                        <w:szCs w:val="22"/>
                      </w:rPr>
                      <w:t xml:space="preserve">  </w:t>
                    </w:r>
                    <w:r>
                      <w:rPr>
                        <w:b/>
                        <w:color w:val="FFFFFF"/>
                        <w:sz w:val="28"/>
                        <w:szCs w:val="22"/>
                      </w:rPr>
                      <w:fldChar w:fldCharType="begin"/>
                    </w:r>
                    <w:r>
                      <w:rPr>
                        <w:b/>
                        <w:color w:val="FFFFFF"/>
                        <w:sz w:val="28"/>
                        <w:szCs w:val="22"/>
                      </w:rPr>
                      <w:instrText xml:space="preserve"> PAGE </w:instrText>
                    </w:r>
                    <w:r>
                      <w:rPr>
                        <w:b/>
                        <w:color w:val="FFFFFF"/>
                        <w:sz w:val="28"/>
                        <w:szCs w:val="22"/>
                      </w:rPr>
                      <w:fldChar w:fldCharType="separate"/>
                    </w:r>
                    <w:r>
                      <w:rPr>
                        <w:b/>
                        <w:color w:val="FFFFFF"/>
                        <w:sz w:val="28"/>
                        <w:szCs w:val="22"/>
                      </w:rPr>
                      <w:t>14</w:t>
                    </w:r>
                    <w:r>
                      <w:rPr>
                        <w:b/>
                        <w:color w:val="FFFFFF"/>
                        <w:sz w:val="28"/>
                        <w:szCs w:val="22"/>
                      </w:rPr>
                      <w:fldChar w:fldCharType="end"/>
                    </w:r>
                  </w:p>
                </w:txbxContent>
              </v:textbox>
              <w10:wrap type="none"/>
            </v:oval>
          </w:pict>
        </mc:Fallback>
      </mc:AlternateContent>
    </w:r>
    <w:bookmarkStart w:id="25" w:name="_Hlk53602621314"/>
    <w:bookmarkStart w:id="26" w:name="_Hlk53602621414"/>
    <w:bookmarkEnd w:id="25"/>
    <w:bookmarkEnd w:id="26"/>
  </w:p>
  <w:p>
    <w:pPr>
      <w:pStyle w:val="BodyText"/>
      <w:spacing w:lineRule="auto" w:line="5"/>
      <w:rPr/>
    </w:pPr>
    <w:r>
      <w:rPr/>
    </w:r>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0490" w:type="dxa"/>
      <w:jc w:val="left"/>
      <w:tblInd w:w="-459" w:type="dxa"/>
      <w:tblLayout w:type="fixed"/>
      <w:tblCellMar>
        <w:top w:w="0" w:type="dxa"/>
        <w:left w:w="108" w:type="dxa"/>
        <w:bottom w:w="0" w:type="dxa"/>
        <w:right w:w="108" w:type="dxa"/>
      </w:tblCellMar>
    </w:tblPr>
    <w:tblGrid>
      <w:gridCol w:w="3223"/>
      <w:gridCol w:w="4003"/>
      <w:gridCol w:w="3264"/>
    </w:tblGrid>
    <w:tr>
      <w:trPr/>
      <w:tc>
        <w:tcPr>
          <w:tcW w:w="3223" w:type="dxa"/>
          <w:tcBorders/>
          <w:vAlign w:val="center"/>
        </w:tcPr>
        <w:p>
          <w:pPr>
            <w:pStyle w:val="Footer"/>
            <w:widowControl w:val="false"/>
            <w:tabs>
              <w:tab w:val="clear" w:pos="4536"/>
              <w:tab w:val="clear" w:pos="9072"/>
              <w:tab w:val="center" w:pos="2976" w:leader="none"/>
            </w:tabs>
            <w:suppressAutoHyphens w:val="true"/>
            <w:spacing w:before="0" w:after="0"/>
            <w:ind w:hanging="0" w:left="0" w:right="35"/>
            <w:jc w:val="center"/>
            <w:rPr>
              <w:rFonts w:cs="Times New Roman"/>
              <w:b/>
              <w:bCs w:val="false"/>
              <w:kern w:val="0"/>
              <w:sz w:val="18"/>
              <w:szCs w:val="18"/>
              <w:lang w:val="fr-FR" w:bidi="ar-SA"/>
            </w:rPr>
          </w:pPr>
          <w:bookmarkStart w:id="31" w:name="_Hlk53602621352"/>
          <w:bookmarkStart w:id="32" w:name="_Hlk53602621452"/>
          <w:bookmarkEnd w:id="31"/>
          <w:bookmarkEnd w:id="32"/>
          <w:r>
            <w:rPr>
              <w:rFonts w:cs="Times New Roman"/>
              <w:b/>
              <w:bCs w:val="false"/>
              <w:kern w:val="0"/>
              <w:sz w:val="18"/>
              <w:szCs w:val="18"/>
              <w:lang w:val="fr-FR" w:bidi="ar-SA"/>
            </w:rPr>
            <w:t>Direction Interdépartementale des Routes</w:t>
          </w:r>
        </w:p>
        <w:p>
          <w:pPr>
            <w:pStyle w:val="Footer"/>
            <w:widowControl w:val="false"/>
            <w:tabs>
              <w:tab w:val="clear" w:pos="4536"/>
              <w:tab w:val="clear" w:pos="9072"/>
              <w:tab w:val="center" w:pos="2976" w:leader="none"/>
            </w:tabs>
            <w:suppressAutoHyphens w:val="true"/>
            <w:spacing w:before="0" w:after="0"/>
            <w:ind w:hanging="0" w:left="0" w:right="35"/>
            <w:jc w:val="center"/>
            <w:rPr>
              <w:rFonts w:cs="Times New Roman"/>
              <w:b/>
              <w:bCs w:val="false"/>
              <w:kern w:val="0"/>
              <w:sz w:val="18"/>
              <w:szCs w:val="18"/>
              <w:lang w:val="fr-FR" w:bidi="ar-SA"/>
            </w:rPr>
          </w:pPr>
          <w:r>
            <w:rPr>
              <w:rFonts w:cs="Times New Roman"/>
              <w:b/>
              <w:bCs w:val="false"/>
              <w:kern w:val="0"/>
              <w:sz w:val="18"/>
              <w:szCs w:val="18"/>
              <w:lang w:val="fr-FR" w:bidi="ar-SA"/>
            </w:rPr>
            <w:t>Centre -Ouest</w:t>
          </w:r>
        </w:p>
      </w:tc>
      <w:tc>
        <w:tcPr>
          <w:tcW w:w="4003" w:type="dxa"/>
          <w:tcBorders/>
          <w:vAlign w:val="center"/>
        </w:tcPr>
        <w:p>
          <w:pPr>
            <w:pStyle w:val="Footer"/>
            <w:widowControl w:val="false"/>
            <w:suppressAutoHyphens w:val="true"/>
            <w:spacing w:before="0" w:after="0"/>
            <w:ind w:hanging="0" w:left="0" w:right="-251"/>
            <w:jc w:val="center"/>
            <w:rPr/>
          </w:pPr>
          <w:r>
            <w:rPr/>
            <w:drawing>
              <wp:inline distT="0" distB="0" distL="0" distR="0">
                <wp:extent cx="405765" cy="539750"/>
                <wp:effectExtent l="0" t="0" r="0" b="0"/>
                <wp:docPr id="17" name="Image8" descr="Modèle de communiqué de pres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e8" descr="Modèle de communiqué de presse"/>
                        <pic:cNvPicPr>
                          <a:picLocks noChangeAspect="1" noChangeArrowheads="1"/>
                        </pic:cNvPicPr>
                      </pic:nvPicPr>
                      <pic:blipFill>
                        <a:blip r:embed="rId1"/>
                        <a:stretch>
                          <a:fillRect/>
                        </a:stretch>
                      </pic:blipFill>
                      <pic:spPr bwMode="auto">
                        <a:xfrm>
                          <a:off x="0" y="0"/>
                          <a:ext cx="405765" cy="539750"/>
                        </a:xfrm>
                        <a:prstGeom prst="rect">
                          <a:avLst/>
                        </a:prstGeom>
                        <a:noFill/>
                      </pic:spPr>
                    </pic:pic>
                  </a:graphicData>
                </a:graphic>
              </wp:inline>
            </w:drawing>
          </w:r>
        </w:p>
      </w:tc>
      <w:tc>
        <w:tcPr>
          <w:tcW w:w="3264" w:type="dxa"/>
          <w:tcBorders/>
          <w:vAlign w:val="center"/>
        </w:tcPr>
        <w:p>
          <w:pPr>
            <w:pStyle w:val="Footer"/>
            <w:widowControl w:val="false"/>
            <w:suppressAutoHyphens w:val="true"/>
            <w:spacing w:before="240" w:after="0"/>
            <w:ind w:firstLine="639" w:left="0" w:right="0"/>
            <w:jc w:val="center"/>
            <w:rPr>
              <w:rFonts w:cs="Times New Roman"/>
              <w:b/>
              <w:bCs w:val="false"/>
              <w:kern w:val="0"/>
              <w:sz w:val="18"/>
              <w:szCs w:val="18"/>
              <w:lang w:val="fr-FR" w:bidi="ar-SA"/>
            </w:rPr>
          </w:pPr>
          <w:r>
            <w:rPr>
              <w:rFonts w:cs="Times New Roman"/>
              <w:b/>
              <w:bCs w:val="false"/>
              <w:kern w:val="0"/>
              <w:sz w:val="18"/>
              <w:szCs w:val="18"/>
              <w:lang w:val="fr-FR" w:bidi="ar-SA"/>
            </w:rPr>
            <w:t>B.P.U</w:t>
          </w:r>
        </w:p>
        <w:p>
          <w:pPr>
            <w:pStyle w:val="Footer"/>
            <w:widowControl w:val="false"/>
            <w:suppressAutoHyphens w:val="true"/>
            <w:spacing w:before="0" w:after="0"/>
            <w:ind w:hanging="0" w:left="602" w:right="995"/>
            <w:jc w:val="right"/>
            <w:rPr>
              <w:rFonts w:cs="Times New Roman"/>
              <w:b/>
              <w:bCs w:val="false"/>
              <w:kern w:val="0"/>
              <w:sz w:val="18"/>
              <w:szCs w:val="18"/>
              <w:lang w:val="fr-FR" w:bidi="ar-SA"/>
            </w:rPr>
          </w:pPr>
          <w:r>
            <w:rPr>
              <w:rFonts w:cs="Times New Roman"/>
              <w:b/>
              <w:bCs w:val="false"/>
              <w:kern w:val="0"/>
              <w:sz w:val="18"/>
              <w:szCs w:val="18"/>
              <w:lang w:val="fr-FR" w:bidi="ar-SA"/>
            </w:rPr>
            <w:t>Ind. B</w:t>
          </w:r>
        </w:p>
        <w:p>
          <w:pPr>
            <w:pStyle w:val="Footer"/>
            <w:widowControl w:val="false"/>
            <w:suppressAutoHyphens w:val="true"/>
            <w:spacing w:before="0" w:after="0"/>
            <w:ind w:hanging="0" w:left="602" w:right="745"/>
            <w:jc w:val="right"/>
            <w:rPr>
              <w:rFonts w:cs="Times New Roman"/>
              <w:b/>
              <w:bCs w:val="false"/>
              <w:kern w:val="0"/>
              <w:sz w:val="18"/>
              <w:szCs w:val="18"/>
              <w:lang w:val="fr-FR" w:bidi="ar-SA"/>
            </w:rPr>
          </w:pPr>
          <w:r>
            <w:rPr>
              <w:rFonts w:cs="Times New Roman"/>
              <w:b/>
              <w:bCs w:val="false"/>
              <w:kern w:val="0"/>
              <w:sz w:val="18"/>
              <w:szCs w:val="18"/>
              <w:lang w:val="fr-FR" w:bidi="ar-SA"/>
            </w:rPr>
            <w:t>Mars 2026</w:t>
          </w:r>
        </w:p>
      </w:tc>
    </w:tr>
  </w:tbl>
  <w:p>
    <w:pPr>
      <w:pStyle w:val="Footer"/>
      <w:rPr/>
    </w:pPr>
    <w:r>
      <w:rPr/>
      <mc:AlternateContent>
        <mc:Choice Requires="wps">
          <w:drawing>
            <wp:anchor distT="0" distB="0" distL="0" distR="0" simplePos="0" relativeHeight="54" behindDoc="1" locked="0" layoutInCell="0" allowOverlap="1">
              <wp:simplePos x="0" y="0"/>
              <wp:positionH relativeFrom="rightMargin">
                <wp:posOffset>205740</wp:posOffset>
              </wp:positionH>
              <wp:positionV relativeFrom="page">
                <wp:posOffset>10008870</wp:posOffset>
              </wp:positionV>
              <wp:extent cx="1262380" cy="1231900"/>
              <wp:effectExtent l="0" t="635" r="635" b="635"/>
              <wp:wrapNone/>
              <wp:docPr id="18" name="Ellipse 3"/>
              <a:graphic xmlns:a="http://schemas.openxmlformats.org/drawingml/2006/main">
                <a:graphicData uri="http://schemas.microsoft.com/office/word/2010/wordprocessingShape">
                  <wps:wsp>
                    <wps:cNvSpPr/>
                    <wps:spPr>
                      <a:xfrm>
                        <a:off x="0" y="0"/>
                        <a:ext cx="1262520" cy="1231920"/>
                      </a:xfrm>
                      <a:prstGeom prst="ellipse">
                        <a:avLst/>
                      </a:prstGeom>
                      <a:solidFill>
                        <a:srgbClr val="BFBFBF"/>
                      </a:solidFill>
                      <a:ln w="0">
                        <a:noFill/>
                      </a:ln>
                    </wps:spPr>
                    <wps:style>
                      <a:lnRef idx="0"/>
                      <a:fillRef idx="0"/>
                      <a:effectRef idx="0"/>
                      <a:fontRef idx="minor"/>
                    </wps:style>
                    <wps:txbx>
                      <w:txbxContent>
                        <w:p>
                          <w:pPr>
                            <w:pStyle w:val="Contenudecadre"/>
                            <w:spacing w:before="240" w:after="0"/>
                            <w:jc w:val="left"/>
                            <w:rPr/>
                          </w:pPr>
                          <w:r>
                            <w:rPr>
                              <w:szCs w:val="22"/>
                            </w:rPr>
                            <w:t xml:space="preserve">  </w:t>
                          </w:r>
                          <w:r>
                            <w:rPr>
                              <w:b/>
                              <w:color w:val="FFFFFF"/>
                              <w:sz w:val="28"/>
                              <w:szCs w:val="22"/>
                            </w:rPr>
                            <w:fldChar w:fldCharType="begin"/>
                          </w:r>
                          <w:r>
                            <w:rPr>
                              <w:b/>
                              <w:color w:val="FFFFFF"/>
                              <w:sz w:val="28"/>
                              <w:szCs w:val="22"/>
                            </w:rPr>
                            <w:instrText xml:space="preserve"> PAGE </w:instrText>
                          </w:r>
                          <w:r>
                            <w:rPr>
                              <w:b/>
                              <w:color w:val="FFFFFF"/>
                              <w:sz w:val="28"/>
                              <w:szCs w:val="22"/>
                            </w:rPr>
                            <w:fldChar w:fldCharType="separate"/>
                          </w:r>
                          <w:r>
                            <w:rPr>
                              <w:b/>
                              <w:color w:val="FFFFFF"/>
                              <w:sz w:val="28"/>
                              <w:szCs w:val="22"/>
                            </w:rPr>
                            <w:t>21</w:t>
                          </w:r>
                          <w:r>
                            <w:rPr>
                              <w:b/>
                              <w:color w:val="FFFFFF"/>
                              <w:sz w:val="28"/>
                              <w:szCs w:val="22"/>
                            </w:rPr>
                            <w:fldChar w:fldCharType="end"/>
                          </w:r>
                        </w:p>
                      </w:txbxContent>
                    </wps:txbx>
                    <wps:bodyPr lIns="0" tIns="0" rIns="0" bIns="0" anchor="t">
                      <a:noAutofit/>
                    </wps:bodyPr>
                  </wps:wsp>
                </a:graphicData>
              </a:graphic>
            </wp:anchor>
          </w:drawing>
        </mc:Choice>
        <mc:Fallback>
          <w:pict>
            <v:oval id="shape_0" fillcolor="#bfbfbf" stroked="f" o:allowincell="f" style="position:absolute;margin-left:16.2pt;margin-top:788.1pt;width:99.35pt;height:96.95pt;mso-wrap-style:square;v-text-anchor:top;mso-position-horizontal-relative:page;mso-position-vertical-relative:page">
              <v:fill o:detectmouseclick="t" type="solid" color2="#404040"/>
              <v:stroke color="#3465a4" joinstyle="round" endcap="flat"/>
              <v:textbox>
                <w:txbxContent>
                  <w:p>
                    <w:pPr>
                      <w:pStyle w:val="Contenudecadre"/>
                      <w:spacing w:before="240" w:after="0"/>
                      <w:jc w:val="left"/>
                      <w:rPr/>
                    </w:pPr>
                    <w:r>
                      <w:rPr>
                        <w:szCs w:val="22"/>
                      </w:rPr>
                      <w:t xml:space="preserve">  </w:t>
                    </w:r>
                    <w:r>
                      <w:rPr>
                        <w:b/>
                        <w:color w:val="FFFFFF"/>
                        <w:sz w:val="28"/>
                        <w:szCs w:val="22"/>
                      </w:rPr>
                      <w:fldChar w:fldCharType="begin"/>
                    </w:r>
                    <w:r>
                      <w:rPr>
                        <w:b/>
                        <w:color w:val="FFFFFF"/>
                        <w:sz w:val="28"/>
                        <w:szCs w:val="22"/>
                      </w:rPr>
                      <w:instrText xml:space="preserve"> PAGE </w:instrText>
                    </w:r>
                    <w:r>
                      <w:rPr>
                        <w:b/>
                        <w:color w:val="FFFFFF"/>
                        <w:sz w:val="28"/>
                        <w:szCs w:val="22"/>
                      </w:rPr>
                      <w:fldChar w:fldCharType="separate"/>
                    </w:r>
                    <w:r>
                      <w:rPr>
                        <w:b/>
                        <w:color w:val="FFFFFF"/>
                        <w:sz w:val="28"/>
                        <w:szCs w:val="22"/>
                      </w:rPr>
                      <w:t>21</w:t>
                    </w:r>
                    <w:r>
                      <w:rPr>
                        <w:b/>
                        <w:color w:val="FFFFFF"/>
                        <w:sz w:val="28"/>
                        <w:szCs w:val="22"/>
                      </w:rPr>
                      <w:fldChar w:fldCharType="end"/>
                    </w:r>
                  </w:p>
                </w:txbxContent>
              </v:textbox>
              <w10:wrap type="none"/>
            </v:oval>
          </w:pict>
        </mc:Fallback>
      </mc:AlternateContent>
    </w:r>
    <w:bookmarkStart w:id="33" w:name="_Hlk536026214142"/>
    <w:bookmarkStart w:id="34" w:name="_Hlk536026213142"/>
    <w:bookmarkEnd w:id="33"/>
    <w:bookmarkEnd w:id="34"/>
  </w:p>
  <w:p>
    <w:pPr>
      <w:pStyle w:val="BodyText"/>
      <w:spacing w:lineRule="auto" w:line="5"/>
      <w:rPr/>
    </w:pPr>
    <w:r>
      <w:rPr/>
    </w:r>
  </w:p>
</w:ftr>
</file>

<file path=word/footer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0490" w:type="dxa"/>
      <w:jc w:val="left"/>
      <w:tblInd w:w="-459" w:type="dxa"/>
      <w:tblLayout w:type="fixed"/>
      <w:tblCellMar>
        <w:top w:w="0" w:type="dxa"/>
        <w:left w:w="108" w:type="dxa"/>
        <w:bottom w:w="0" w:type="dxa"/>
        <w:right w:w="108" w:type="dxa"/>
      </w:tblCellMar>
    </w:tblPr>
    <w:tblGrid>
      <w:gridCol w:w="3223"/>
      <w:gridCol w:w="4003"/>
      <w:gridCol w:w="3264"/>
    </w:tblGrid>
    <w:tr>
      <w:trPr/>
      <w:tc>
        <w:tcPr>
          <w:tcW w:w="3223" w:type="dxa"/>
          <w:tcBorders/>
          <w:vAlign w:val="center"/>
        </w:tcPr>
        <w:p>
          <w:pPr>
            <w:pStyle w:val="Footer"/>
            <w:widowControl w:val="false"/>
            <w:tabs>
              <w:tab w:val="clear" w:pos="4536"/>
              <w:tab w:val="clear" w:pos="9072"/>
              <w:tab w:val="center" w:pos="2976" w:leader="none"/>
            </w:tabs>
            <w:suppressAutoHyphens w:val="true"/>
            <w:spacing w:before="0" w:after="0"/>
            <w:ind w:hanging="0" w:left="0" w:right="35"/>
            <w:jc w:val="center"/>
            <w:rPr>
              <w:rFonts w:cs="Times New Roman"/>
              <w:b/>
              <w:bCs w:val="false"/>
              <w:kern w:val="0"/>
              <w:sz w:val="18"/>
              <w:szCs w:val="18"/>
              <w:lang w:val="fr-FR" w:bidi="ar-SA"/>
            </w:rPr>
          </w:pPr>
          <w:bookmarkStart w:id="36" w:name="_Hlk536026214522"/>
          <w:bookmarkStart w:id="37" w:name="_Hlk536026213522"/>
          <w:bookmarkEnd w:id="36"/>
          <w:bookmarkEnd w:id="37"/>
          <w:r>
            <w:rPr>
              <w:rFonts w:cs="Times New Roman"/>
              <w:b/>
              <w:bCs w:val="false"/>
              <w:kern w:val="0"/>
              <w:sz w:val="18"/>
              <w:szCs w:val="18"/>
              <w:lang w:val="fr-FR" w:bidi="ar-SA"/>
            </w:rPr>
            <w:t>Direction Interdépartementales des Routes</w:t>
          </w:r>
        </w:p>
        <w:p>
          <w:pPr>
            <w:pStyle w:val="Footer"/>
            <w:widowControl w:val="false"/>
            <w:tabs>
              <w:tab w:val="clear" w:pos="4536"/>
              <w:tab w:val="clear" w:pos="9072"/>
              <w:tab w:val="center" w:pos="2976" w:leader="none"/>
            </w:tabs>
            <w:suppressAutoHyphens w:val="true"/>
            <w:spacing w:before="0" w:after="0"/>
            <w:ind w:hanging="0" w:left="0" w:right="35"/>
            <w:jc w:val="center"/>
            <w:rPr>
              <w:rFonts w:cs="Times New Roman"/>
              <w:b/>
              <w:bCs w:val="false"/>
              <w:kern w:val="0"/>
              <w:sz w:val="18"/>
              <w:szCs w:val="18"/>
              <w:lang w:val="fr-FR" w:bidi="ar-SA"/>
            </w:rPr>
          </w:pPr>
          <w:r>
            <w:rPr>
              <w:rFonts w:cs="Times New Roman"/>
              <w:b/>
              <w:bCs w:val="false"/>
              <w:kern w:val="0"/>
              <w:sz w:val="18"/>
              <w:szCs w:val="18"/>
              <w:lang w:val="fr-FR" w:bidi="ar-SA"/>
            </w:rPr>
            <w:t>Centre -Ouest</w:t>
          </w:r>
        </w:p>
      </w:tc>
      <w:tc>
        <w:tcPr>
          <w:tcW w:w="4003" w:type="dxa"/>
          <w:tcBorders/>
          <w:vAlign w:val="center"/>
        </w:tcPr>
        <w:p>
          <w:pPr>
            <w:pStyle w:val="Footer"/>
            <w:widowControl w:val="false"/>
            <w:suppressAutoHyphens w:val="true"/>
            <w:spacing w:before="0" w:after="0"/>
            <w:ind w:hanging="0" w:left="0" w:right="-251"/>
            <w:jc w:val="center"/>
            <w:rPr/>
          </w:pPr>
          <w:r>
            <w:rPr/>
            <w:drawing>
              <wp:inline distT="0" distB="0" distL="0" distR="0">
                <wp:extent cx="405765" cy="539750"/>
                <wp:effectExtent l="0" t="0" r="0" b="0"/>
                <wp:docPr id="20" name="Image10" descr="Modèle de communiqué de pres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10" descr="Modèle de communiqué de presse"/>
                        <pic:cNvPicPr>
                          <a:picLocks noChangeAspect="1" noChangeArrowheads="1"/>
                        </pic:cNvPicPr>
                      </pic:nvPicPr>
                      <pic:blipFill>
                        <a:blip r:embed="rId1"/>
                        <a:stretch>
                          <a:fillRect/>
                        </a:stretch>
                      </pic:blipFill>
                      <pic:spPr bwMode="auto">
                        <a:xfrm>
                          <a:off x="0" y="0"/>
                          <a:ext cx="405765" cy="539750"/>
                        </a:xfrm>
                        <a:prstGeom prst="rect">
                          <a:avLst/>
                        </a:prstGeom>
                        <a:noFill/>
                      </pic:spPr>
                    </pic:pic>
                  </a:graphicData>
                </a:graphic>
              </wp:inline>
            </w:drawing>
          </w:r>
        </w:p>
      </w:tc>
      <w:tc>
        <w:tcPr>
          <w:tcW w:w="3264" w:type="dxa"/>
          <w:tcBorders/>
          <w:vAlign w:val="center"/>
        </w:tcPr>
        <w:p>
          <w:pPr>
            <w:pStyle w:val="Footer"/>
            <w:widowControl w:val="false"/>
            <w:suppressAutoHyphens w:val="true"/>
            <w:spacing w:before="240" w:after="0"/>
            <w:ind w:firstLine="639" w:left="0" w:right="0"/>
            <w:jc w:val="center"/>
            <w:rPr>
              <w:rFonts w:cs="Times New Roman"/>
              <w:b/>
              <w:bCs w:val="false"/>
              <w:kern w:val="0"/>
              <w:sz w:val="18"/>
              <w:szCs w:val="18"/>
              <w:lang w:val="fr-FR" w:bidi="ar-SA"/>
            </w:rPr>
          </w:pPr>
          <w:r>
            <w:rPr>
              <w:rFonts w:cs="Times New Roman"/>
              <w:b/>
              <w:bCs w:val="false"/>
              <w:kern w:val="0"/>
              <w:sz w:val="18"/>
              <w:szCs w:val="18"/>
              <w:lang w:val="fr-FR" w:bidi="ar-SA"/>
            </w:rPr>
            <w:t>B.P.U</w:t>
          </w:r>
        </w:p>
        <w:p>
          <w:pPr>
            <w:pStyle w:val="Footer"/>
            <w:widowControl w:val="false"/>
            <w:suppressAutoHyphens w:val="true"/>
            <w:spacing w:before="0" w:after="0"/>
            <w:ind w:hanging="0" w:left="602" w:right="995"/>
            <w:jc w:val="right"/>
            <w:rPr>
              <w:rFonts w:cs="Times New Roman"/>
              <w:b/>
              <w:bCs w:val="false"/>
              <w:kern w:val="0"/>
              <w:sz w:val="18"/>
              <w:szCs w:val="18"/>
              <w:lang w:val="fr-FR" w:bidi="ar-SA"/>
            </w:rPr>
          </w:pPr>
          <w:r>
            <w:rPr>
              <w:rFonts w:cs="Times New Roman"/>
              <w:b/>
              <w:bCs w:val="false"/>
              <w:kern w:val="0"/>
              <w:sz w:val="18"/>
              <w:szCs w:val="18"/>
              <w:lang w:val="fr-FR" w:bidi="ar-SA"/>
            </w:rPr>
            <w:t>Ind. B</w:t>
          </w:r>
        </w:p>
        <w:p>
          <w:pPr>
            <w:pStyle w:val="Footer"/>
            <w:widowControl w:val="false"/>
            <w:suppressAutoHyphens w:val="true"/>
            <w:spacing w:before="0" w:after="0"/>
            <w:ind w:hanging="0" w:left="602" w:right="745"/>
            <w:jc w:val="right"/>
            <w:rPr>
              <w:rFonts w:cs="Times New Roman"/>
              <w:b/>
              <w:bCs w:val="false"/>
              <w:kern w:val="0"/>
              <w:sz w:val="18"/>
              <w:szCs w:val="18"/>
              <w:lang w:val="fr-FR" w:bidi="ar-SA"/>
            </w:rPr>
          </w:pPr>
          <w:r>
            <w:rPr>
              <w:rFonts w:cs="Times New Roman"/>
              <w:b/>
              <w:bCs w:val="false"/>
              <w:kern w:val="0"/>
              <w:sz w:val="18"/>
              <w:szCs w:val="18"/>
              <w:lang w:val="fr-FR" w:bidi="ar-SA"/>
            </w:rPr>
            <w:t>Mars 2026</w:t>
          </w:r>
        </w:p>
      </w:tc>
    </w:tr>
  </w:tbl>
  <w:p>
    <w:pPr>
      <w:pStyle w:val="Footer"/>
      <w:rPr/>
    </w:pPr>
    <w:r>
      <w:rPr/>
      <mc:AlternateContent>
        <mc:Choice Requires="wps">
          <w:drawing>
            <wp:anchor distT="0" distB="0" distL="0" distR="0" simplePos="0" relativeHeight="31" behindDoc="1" locked="0" layoutInCell="0" allowOverlap="1">
              <wp:simplePos x="0" y="0"/>
              <wp:positionH relativeFrom="rightMargin">
                <wp:posOffset>205740</wp:posOffset>
              </wp:positionH>
              <wp:positionV relativeFrom="page">
                <wp:posOffset>10008870</wp:posOffset>
              </wp:positionV>
              <wp:extent cx="1262380" cy="1231900"/>
              <wp:effectExtent l="0" t="635" r="635" b="635"/>
              <wp:wrapNone/>
              <wp:docPr id="21" name="Ellipse 4"/>
              <a:graphic xmlns:a="http://schemas.openxmlformats.org/drawingml/2006/main">
                <a:graphicData uri="http://schemas.microsoft.com/office/word/2010/wordprocessingShape">
                  <wps:wsp>
                    <wps:cNvSpPr/>
                    <wps:spPr>
                      <a:xfrm>
                        <a:off x="0" y="0"/>
                        <a:ext cx="1262520" cy="1231920"/>
                      </a:xfrm>
                      <a:prstGeom prst="ellipse">
                        <a:avLst/>
                      </a:prstGeom>
                      <a:solidFill>
                        <a:srgbClr val="BFBFBF"/>
                      </a:solidFill>
                      <a:ln w="0">
                        <a:noFill/>
                      </a:ln>
                    </wps:spPr>
                    <wps:style>
                      <a:lnRef idx="0"/>
                      <a:fillRef idx="0"/>
                      <a:effectRef idx="0"/>
                      <a:fontRef idx="minor"/>
                    </wps:style>
                    <wps:txbx>
                      <w:txbxContent>
                        <w:p>
                          <w:pPr>
                            <w:pStyle w:val="Contenudecadre"/>
                            <w:spacing w:before="240" w:after="0"/>
                            <w:jc w:val="left"/>
                            <w:rPr/>
                          </w:pPr>
                          <w:r>
                            <w:rPr>
                              <w:szCs w:val="22"/>
                            </w:rPr>
                            <w:t xml:space="preserve">  </w:t>
                          </w:r>
                          <w:r>
                            <w:rPr>
                              <w:b/>
                              <w:color w:val="FFFFFF"/>
                              <w:sz w:val="28"/>
                              <w:szCs w:val="22"/>
                            </w:rPr>
                            <w:fldChar w:fldCharType="begin"/>
                          </w:r>
                          <w:r>
                            <w:rPr>
                              <w:b/>
                              <w:color w:val="FFFFFF"/>
                              <w:sz w:val="28"/>
                              <w:szCs w:val="22"/>
                            </w:rPr>
                            <w:instrText xml:space="preserve"> PAGE </w:instrText>
                          </w:r>
                          <w:r>
                            <w:rPr>
                              <w:b/>
                              <w:color w:val="FFFFFF"/>
                              <w:sz w:val="28"/>
                              <w:szCs w:val="22"/>
                            </w:rPr>
                            <w:fldChar w:fldCharType="separate"/>
                          </w:r>
                          <w:r>
                            <w:rPr>
                              <w:b/>
                              <w:color w:val="FFFFFF"/>
                              <w:sz w:val="28"/>
                              <w:szCs w:val="22"/>
                            </w:rPr>
                            <w:t>23</w:t>
                          </w:r>
                          <w:r>
                            <w:rPr>
                              <w:b/>
                              <w:color w:val="FFFFFF"/>
                              <w:sz w:val="28"/>
                              <w:szCs w:val="22"/>
                            </w:rPr>
                            <w:fldChar w:fldCharType="end"/>
                          </w:r>
                        </w:p>
                      </w:txbxContent>
                    </wps:txbx>
                    <wps:bodyPr lIns="0" tIns="0" rIns="0" bIns="0" anchor="t">
                      <a:noAutofit/>
                    </wps:bodyPr>
                  </wps:wsp>
                </a:graphicData>
              </a:graphic>
            </wp:anchor>
          </w:drawing>
        </mc:Choice>
        <mc:Fallback>
          <w:pict>
            <v:oval id="shape_0" fillcolor="#bfbfbf" stroked="f" o:allowincell="f" style="position:absolute;margin-left:16.2pt;margin-top:788.1pt;width:99.35pt;height:96.95pt;mso-wrap-style:square;v-text-anchor:top;mso-position-horizontal-relative:page;mso-position-vertical-relative:page">
              <v:fill o:detectmouseclick="t" type="solid" color2="#404040"/>
              <v:stroke color="#3465a4" joinstyle="round" endcap="flat"/>
              <v:textbox>
                <w:txbxContent>
                  <w:p>
                    <w:pPr>
                      <w:pStyle w:val="Contenudecadre"/>
                      <w:spacing w:before="240" w:after="0"/>
                      <w:jc w:val="left"/>
                      <w:rPr/>
                    </w:pPr>
                    <w:r>
                      <w:rPr>
                        <w:szCs w:val="22"/>
                      </w:rPr>
                      <w:t xml:space="preserve">  </w:t>
                    </w:r>
                    <w:r>
                      <w:rPr>
                        <w:b/>
                        <w:color w:val="FFFFFF"/>
                        <w:sz w:val="28"/>
                        <w:szCs w:val="22"/>
                      </w:rPr>
                      <w:fldChar w:fldCharType="begin"/>
                    </w:r>
                    <w:r>
                      <w:rPr>
                        <w:b/>
                        <w:color w:val="FFFFFF"/>
                        <w:sz w:val="28"/>
                        <w:szCs w:val="22"/>
                      </w:rPr>
                      <w:instrText xml:space="preserve"> PAGE </w:instrText>
                    </w:r>
                    <w:r>
                      <w:rPr>
                        <w:b/>
                        <w:color w:val="FFFFFF"/>
                        <w:sz w:val="28"/>
                        <w:szCs w:val="22"/>
                      </w:rPr>
                      <w:fldChar w:fldCharType="separate"/>
                    </w:r>
                    <w:r>
                      <w:rPr>
                        <w:b/>
                        <w:color w:val="FFFFFF"/>
                        <w:sz w:val="28"/>
                        <w:szCs w:val="22"/>
                      </w:rPr>
                      <w:t>23</w:t>
                    </w:r>
                    <w:r>
                      <w:rPr>
                        <w:b/>
                        <w:color w:val="FFFFFF"/>
                        <w:sz w:val="28"/>
                        <w:szCs w:val="22"/>
                      </w:rPr>
                      <w:fldChar w:fldCharType="end"/>
                    </w:r>
                  </w:p>
                </w:txbxContent>
              </v:textbox>
              <w10:wrap type="none"/>
            </v:oval>
          </w:pict>
        </mc:Fallback>
      </mc:AlternateContent>
    </w:r>
    <w:bookmarkStart w:id="38" w:name="_Hlk5360262131422"/>
    <w:bookmarkStart w:id="39" w:name="_Hlk5360262141422"/>
    <w:bookmarkEnd w:id="38"/>
    <w:bookmarkEnd w:id="39"/>
  </w:p>
  <w:p>
    <w:pPr>
      <w:pStyle w:val="BodyText"/>
      <w:spacing w:lineRule="auto" w:line="5"/>
      <w:rPr/>
    </w:pPr>
    <w:r>
      <w:rPr/>
    </w:r>
  </w:p>
</w:ftr>
</file>

<file path=word/footer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pPr>
    <w:r>
      <w:rPr/>
      <w:drawing>
        <wp:inline distT="0" distB="0" distL="0" distR="0">
          <wp:extent cx="1023620" cy="716280"/>
          <wp:effectExtent l="0" t="0" r="0" b="0"/>
          <wp:docPr id="6" name="Image 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292"/>
                  <pic:cNvPicPr>
                    <a:picLocks noChangeAspect="1" noChangeArrowheads="1"/>
                  </pic:cNvPicPr>
                </pic:nvPicPr>
                <pic:blipFill>
                  <a:blip r:embed="rId1"/>
                  <a:srcRect l="0" t="0" r="44133" b="0"/>
                  <a:stretch>
                    <a:fillRect/>
                  </a:stretch>
                </pic:blipFill>
                <pic:spPr bwMode="auto">
                  <a:xfrm>
                    <a:off x="0" y="0"/>
                    <a:ext cx="1023620" cy="716280"/>
                  </a:xfrm>
                  <a:prstGeom prst="rect">
                    <a:avLst/>
                  </a:prstGeom>
                  <a:noFill/>
                </pic:spPr>
              </pic:pic>
            </a:graphicData>
          </a:graphic>
        </wp:inline>
      </w:drawing>
    </w:r>
  </w:p>
</w:hdr>
</file>

<file path=word/header10.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pPr>
    <w:r>
      <w:rPr/>
      <w:drawing>
        <wp:inline distT="0" distB="0" distL="0" distR="0">
          <wp:extent cx="1043940" cy="716280"/>
          <wp:effectExtent l="0" t="0" r="0" b="0"/>
          <wp:docPr id="22" name="Image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11"/>
                  <pic:cNvPicPr>
                    <a:picLocks noChangeAspect="1" noChangeArrowheads="1"/>
                  </pic:cNvPicPr>
                </pic:nvPicPr>
                <pic:blipFill>
                  <a:blip r:embed="rId1"/>
                  <a:srcRect l="0" t="0" r="42986" b="0"/>
                  <a:stretch>
                    <a:fillRect/>
                  </a:stretch>
                </pic:blipFill>
                <pic:spPr bwMode="auto">
                  <a:xfrm>
                    <a:off x="0" y="0"/>
                    <a:ext cx="1043940" cy="716280"/>
                  </a:xfrm>
                  <a:prstGeom prst="rect">
                    <a:avLst/>
                  </a:prstGeom>
                  <a:noFill/>
                </pic:spPr>
              </pic:pic>
            </a:graphicData>
          </a:graphic>
        </wp:inline>
      </w:drawing>
    </w:r>
  </w:p>
</w:hdr>
</file>

<file path=word/header1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1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pPr>
    <w:r>
      <w:rPr/>
      <w:drawing>
        <wp:inline distT="0" distB="0" distL="0" distR="0">
          <wp:extent cx="1043940" cy="716280"/>
          <wp:effectExtent l="0" t="0" r="0" b="0"/>
          <wp:docPr id="25" name="Image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Image13"/>
                  <pic:cNvPicPr>
                    <a:picLocks noChangeAspect="1" noChangeArrowheads="1"/>
                  </pic:cNvPicPr>
                </pic:nvPicPr>
                <pic:blipFill>
                  <a:blip r:embed="rId1"/>
                  <a:srcRect l="0" t="0" r="42986" b="0"/>
                  <a:stretch>
                    <a:fillRect/>
                  </a:stretch>
                </pic:blipFill>
                <pic:spPr bwMode="auto">
                  <a:xfrm>
                    <a:off x="0" y="0"/>
                    <a:ext cx="1043940" cy="716280"/>
                  </a:xfrm>
                  <a:prstGeom prst="rect">
                    <a:avLst/>
                  </a:prstGeom>
                  <a:noFill/>
                </pic:spPr>
              </pic:pic>
            </a:graphicData>
          </a:graphic>
        </wp:inline>
      </w:drawing>
    </w:r>
  </w:p>
</w:hdr>
</file>

<file path=word/header1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1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pPr>
    <w:r>
      <w:rPr/>
      <w:drawing>
        <wp:inline distT="0" distB="0" distL="0" distR="0">
          <wp:extent cx="1043940" cy="716280"/>
          <wp:effectExtent l="0" t="0" r="0" b="0"/>
          <wp:docPr id="28" name="Image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15"/>
                  <pic:cNvPicPr>
                    <a:picLocks noChangeAspect="1" noChangeArrowheads="1"/>
                  </pic:cNvPicPr>
                </pic:nvPicPr>
                <pic:blipFill>
                  <a:blip r:embed="rId1"/>
                  <a:srcRect l="0" t="0" r="42986" b="0"/>
                  <a:stretch>
                    <a:fillRect/>
                  </a:stretch>
                </pic:blipFill>
                <pic:spPr bwMode="auto">
                  <a:xfrm>
                    <a:off x="0" y="0"/>
                    <a:ext cx="1043940" cy="716280"/>
                  </a:xfrm>
                  <a:prstGeom prst="rect">
                    <a:avLst/>
                  </a:prstGeom>
                  <a:noFill/>
                </pic:spPr>
              </pic:pic>
            </a:graphicData>
          </a:graphic>
        </wp:inline>
      </w:drawing>
    </w:r>
  </w:p>
</w:hdr>
</file>

<file path=word/header1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1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pPr>
    <w:r>
      <w:rPr/>
      <w:drawing>
        <wp:inline distT="0" distB="0" distL="0" distR="0">
          <wp:extent cx="1043940" cy="716280"/>
          <wp:effectExtent l="0" t="0" r="0" b="0"/>
          <wp:docPr id="31" name="Image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Image17"/>
                  <pic:cNvPicPr>
                    <a:picLocks noChangeAspect="1" noChangeArrowheads="1"/>
                  </pic:cNvPicPr>
                </pic:nvPicPr>
                <pic:blipFill>
                  <a:blip r:embed="rId1"/>
                  <a:srcRect l="0" t="0" r="42986" b="0"/>
                  <a:stretch>
                    <a:fillRect/>
                  </a:stretch>
                </pic:blipFill>
                <pic:spPr bwMode="auto">
                  <a:xfrm>
                    <a:off x="0" y="0"/>
                    <a:ext cx="1043940" cy="716280"/>
                  </a:xfrm>
                  <a:prstGeom prst="rect">
                    <a:avLst/>
                  </a:prstGeom>
                  <a:noFill/>
                </pic:spPr>
              </pic:pic>
            </a:graphicData>
          </a:graphic>
        </wp:inline>
      </w:drawing>
    </w:r>
  </w:p>
</w:hdr>
</file>

<file path=word/header17.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18.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pPr>
    <w:r>
      <w:rPr/>
      <w:drawing>
        <wp:inline distT="0" distB="0" distL="0" distR="0">
          <wp:extent cx="1043940" cy="716280"/>
          <wp:effectExtent l="0" t="0" r="0" b="0"/>
          <wp:docPr id="34" name="Image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Image19"/>
                  <pic:cNvPicPr>
                    <a:picLocks noChangeAspect="1" noChangeArrowheads="1"/>
                  </pic:cNvPicPr>
                </pic:nvPicPr>
                <pic:blipFill>
                  <a:blip r:embed="rId1"/>
                  <a:srcRect l="0" t="0" r="42986" b="0"/>
                  <a:stretch>
                    <a:fillRect/>
                  </a:stretch>
                </pic:blipFill>
                <pic:spPr bwMode="auto">
                  <a:xfrm>
                    <a:off x="0" y="0"/>
                    <a:ext cx="1043940" cy="716280"/>
                  </a:xfrm>
                  <a:prstGeom prst="rect">
                    <a:avLst/>
                  </a:prstGeom>
                  <a:noFill/>
                </pic:spPr>
              </pic:pic>
            </a:graphicData>
          </a:graphic>
        </wp:inline>
      </w:drawing>
    </w:r>
  </w:p>
</w:hdr>
</file>

<file path=word/header19.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pPr>
    <w:r>
      <w:rPr/>
      <w:drawing>
        <wp:inline distT="0" distB="0" distL="0" distR="0">
          <wp:extent cx="1043940" cy="716280"/>
          <wp:effectExtent l="0" t="0" r="0" b="0"/>
          <wp:docPr id="10" name="Imag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3"/>
                  <pic:cNvPicPr>
                    <a:picLocks noChangeAspect="1" noChangeArrowheads="1"/>
                  </pic:cNvPicPr>
                </pic:nvPicPr>
                <pic:blipFill>
                  <a:blip r:embed="rId1"/>
                  <a:srcRect l="0" t="0" r="42986" b="0"/>
                  <a:stretch>
                    <a:fillRect/>
                  </a:stretch>
                </pic:blipFill>
                <pic:spPr bwMode="auto">
                  <a:xfrm>
                    <a:off x="0" y="0"/>
                    <a:ext cx="1043940" cy="716280"/>
                  </a:xfrm>
                  <a:prstGeom prst="rect">
                    <a:avLst/>
                  </a:prstGeom>
                  <a:noFill/>
                </pic:spPr>
              </pic:pic>
            </a:graphicData>
          </a:graphic>
        </wp:inline>
      </w:drawing>
    </w:r>
  </w:p>
</w:hdr>
</file>

<file path=word/header20.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pPr>
    <w:r>
      <w:rPr/>
      <w:drawing>
        <wp:inline distT="0" distB="0" distL="0" distR="0">
          <wp:extent cx="1043940" cy="716280"/>
          <wp:effectExtent l="0" t="0" r="0" b="0"/>
          <wp:docPr id="37" name="Image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Image21"/>
                  <pic:cNvPicPr>
                    <a:picLocks noChangeAspect="1" noChangeArrowheads="1"/>
                  </pic:cNvPicPr>
                </pic:nvPicPr>
                <pic:blipFill>
                  <a:blip r:embed="rId1"/>
                  <a:srcRect l="0" t="0" r="42986" b="0"/>
                  <a:stretch>
                    <a:fillRect/>
                  </a:stretch>
                </pic:blipFill>
                <pic:spPr bwMode="auto">
                  <a:xfrm>
                    <a:off x="0" y="0"/>
                    <a:ext cx="1043940" cy="716280"/>
                  </a:xfrm>
                  <a:prstGeom prst="rect">
                    <a:avLst/>
                  </a:prstGeom>
                  <a:noFill/>
                </pic:spPr>
              </pic:pic>
            </a:graphicData>
          </a:graphic>
        </wp:inline>
      </w:drawing>
    </w:r>
  </w:p>
</w:hdr>
</file>

<file path=word/header2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2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pPr>
    <w:r>
      <w:rPr/>
      <w:drawing>
        <wp:inline distT="0" distB="0" distL="0" distR="0">
          <wp:extent cx="1043940" cy="716280"/>
          <wp:effectExtent l="0" t="0" r="0" b="0"/>
          <wp:docPr id="40" name="Image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Image23"/>
                  <pic:cNvPicPr>
                    <a:picLocks noChangeAspect="1" noChangeArrowheads="1"/>
                  </pic:cNvPicPr>
                </pic:nvPicPr>
                <pic:blipFill>
                  <a:blip r:embed="rId1"/>
                  <a:srcRect l="0" t="0" r="42986" b="0"/>
                  <a:stretch>
                    <a:fillRect/>
                  </a:stretch>
                </pic:blipFill>
                <pic:spPr bwMode="auto">
                  <a:xfrm>
                    <a:off x="0" y="0"/>
                    <a:ext cx="1043940" cy="716280"/>
                  </a:xfrm>
                  <a:prstGeom prst="rect">
                    <a:avLst/>
                  </a:prstGeom>
                  <a:noFill/>
                </pic:spPr>
              </pic:pic>
            </a:graphicData>
          </a:graphic>
        </wp:inline>
      </w:drawing>
    </w:r>
  </w:p>
</w:hdr>
</file>

<file path=word/header2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2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pPr>
    <w:r>
      <w:rPr/>
      <w:drawing>
        <wp:inline distT="0" distB="0" distL="0" distR="0">
          <wp:extent cx="1043940" cy="716280"/>
          <wp:effectExtent l="0" t="0" r="0" b="0"/>
          <wp:docPr id="43" name="Image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Image25"/>
                  <pic:cNvPicPr>
                    <a:picLocks noChangeAspect="1" noChangeArrowheads="1"/>
                  </pic:cNvPicPr>
                </pic:nvPicPr>
                <pic:blipFill>
                  <a:blip r:embed="rId1"/>
                  <a:srcRect l="0" t="0" r="42986" b="0"/>
                  <a:stretch>
                    <a:fillRect/>
                  </a:stretch>
                </pic:blipFill>
                <pic:spPr bwMode="auto">
                  <a:xfrm>
                    <a:off x="0" y="0"/>
                    <a:ext cx="1043940" cy="716280"/>
                  </a:xfrm>
                  <a:prstGeom prst="rect">
                    <a:avLst/>
                  </a:prstGeom>
                  <a:noFill/>
                </pic:spPr>
              </pic:pic>
            </a:graphicData>
          </a:graphic>
        </wp:inline>
      </w:drawing>
    </w:r>
  </w:p>
</w:hdr>
</file>

<file path=word/header2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pPr>
    <w:r>
      <w:rPr/>
      <w:drawing>
        <wp:inline distT="0" distB="0" distL="0" distR="0">
          <wp:extent cx="1043940" cy="716280"/>
          <wp:effectExtent l="0" t="0" r="0" b="0"/>
          <wp:docPr id="13" name="Image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5"/>
                  <pic:cNvPicPr>
                    <a:picLocks noChangeAspect="1" noChangeArrowheads="1"/>
                  </pic:cNvPicPr>
                </pic:nvPicPr>
                <pic:blipFill>
                  <a:blip r:embed="rId1"/>
                  <a:srcRect l="0" t="0" r="42986" b="0"/>
                  <a:stretch>
                    <a:fillRect/>
                  </a:stretch>
                </pic:blipFill>
                <pic:spPr bwMode="auto">
                  <a:xfrm>
                    <a:off x="0" y="0"/>
                    <a:ext cx="1043940" cy="716280"/>
                  </a:xfrm>
                  <a:prstGeom prst="rect">
                    <a:avLst/>
                  </a:prstGeom>
                  <a:noFill/>
                </pic:spPr>
              </pic:pic>
            </a:graphicData>
          </a:graphic>
        </wp:inline>
      </w:drawing>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pPr>
    <w:r>
      <w:rPr/>
      <w:drawing>
        <wp:inline distT="0" distB="0" distL="0" distR="0">
          <wp:extent cx="1043940" cy="716280"/>
          <wp:effectExtent l="0" t="0" r="0" b="0"/>
          <wp:docPr id="16" name="Image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7"/>
                  <pic:cNvPicPr>
                    <a:picLocks noChangeAspect="1" noChangeArrowheads="1"/>
                  </pic:cNvPicPr>
                </pic:nvPicPr>
                <pic:blipFill>
                  <a:blip r:embed="rId1"/>
                  <a:srcRect l="0" t="0" r="42986" b="0"/>
                  <a:stretch>
                    <a:fillRect/>
                  </a:stretch>
                </pic:blipFill>
                <pic:spPr bwMode="auto">
                  <a:xfrm>
                    <a:off x="0" y="0"/>
                    <a:ext cx="1043940" cy="716280"/>
                  </a:xfrm>
                  <a:prstGeom prst="rect">
                    <a:avLst/>
                  </a:prstGeom>
                  <a:noFill/>
                </pic:spPr>
              </pic:pic>
            </a:graphicData>
          </a:graphic>
        </wp:inline>
      </w:drawing>
    </w:r>
  </w:p>
</w:hdr>
</file>

<file path=word/header7.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8.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pPr>
    <w:r>
      <w:rPr/>
      <w:drawing>
        <wp:inline distT="0" distB="0" distL="0" distR="0">
          <wp:extent cx="1043940" cy="716280"/>
          <wp:effectExtent l="0" t="0" r="0" b="0"/>
          <wp:docPr id="19" name="Image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e9"/>
                  <pic:cNvPicPr>
                    <a:picLocks noChangeAspect="1" noChangeArrowheads="1"/>
                  </pic:cNvPicPr>
                </pic:nvPicPr>
                <pic:blipFill>
                  <a:blip r:embed="rId1"/>
                  <a:srcRect l="0" t="0" r="42986" b="0"/>
                  <a:stretch>
                    <a:fillRect/>
                  </a:stretch>
                </pic:blipFill>
                <pic:spPr bwMode="auto">
                  <a:xfrm>
                    <a:off x="0" y="0"/>
                    <a:ext cx="1043940" cy="716280"/>
                  </a:xfrm>
                  <a:prstGeom prst="rect">
                    <a:avLst/>
                  </a:prstGeom>
                  <a:noFill/>
                </pic:spPr>
              </pic:pic>
            </a:graphicData>
          </a:graphic>
        </wp:inline>
      </w:drawing>
    </w:r>
  </w:p>
</w:hdr>
</file>

<file path=word/header9.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numFmt w:val="decimal"/>
      <w:pStyle w:val="Heading1"/>
      <w:lvlText w:val="ARTICLE %1."/>
      <w:lvlJc w:val="left"/>
      <w:pPr>
        <w:tabs>
          <w:tab w:val="num" w:pos="0"/>
        </w:tabs>
        <w:ind w:left="1779" w:hanging="360"/>
      </w:pPr>
      <w:rPr/>
    </w:lvl>
    <w:lvl w:ilvl="1">
      <w:start w:val="1"/>
      <w:numFmt w:val="decimal"/>
      <w:pStyle w:val="Heading2"/>
      <w:suff w:val="space"/>
      <w:lvlText w:val="Article %1.%2"/>
      <w:lvlJc w:val="left"/>
      <w:pPr>
        <w:tabs>
          <w:tab w:val="num" w:pos="0"/>
        </w:tabs>
        <w:ind w:left="6493" w:hanging="113"/>
      </w:pPr>
      <w:rPr/>
    </w:lvl>
    <w:lvl w:ilvl="2">
      <w:start w:val="1"/>
      <w:numFmt w:val="decimal"/>
      <w:pStyle w:val="Heading3"/>
      <w:lvlText w:val="Article %1.%2.%3"/>
      <w:lvlJc w:val="left"/>
      <w:pPr>
        <w:tabs>
          <w:tab w:val="num" w:pos="1730"/>
        </w:tabs>
        <w:ind w:left="1730" w:hanging="737"/>
      </w:pPr>
      <w:rPr/>
    </w:lvl>
    <w:lvl w:ilvl="3">
      <w:start w:val="1"/>
      <w:numFmt w:val="decimal"/>
      <w:pStyle w:val="Heading4"/>
      <w:lvlText w:val="%1.%2.%3.%4"/>
      <w:lvlJc w:val="left"/>
      <w:pPr>
        <w:tabs>
          <w:tab w:val="num" w:pos="1021"/>
        </w:tabs>
        <w:ind w:left="993" w:hanging="0"/>
      </w:pPr>
      <w:rPr>
        <w:b w:val="false"/>
        <w:bCs w:val="false"/>
        <w:i w:val="false"/>
        <w:iCs w:val="false"/>
        <w:caps w:val="false"/>
        <w:smallCaps w:val="false"/>
        <w:strike w:val="false"/>
        <w:dstrike w:val="false"/>
        <w:vanish w:val="false"/>
        <w:color w:val="00B050"/>
        <w:spacing w:val="0"/>
        <w:kern w:val="0"/>
        <w:position w:val="0"/>
        <w:sz w:val="20"/>
        <w:u w:val="none"/>
        <w:effect w:val="none"/>
        <w:vertAlign w:val="baseline"/>
        <w:em w:val="none"/>
      </w:rPr>
    </w:lvl>
    <w:lvl w:ilvl="4">
      <w:start w:val="1"/>
      <w:numFmt w:val="decimal"/>
      <w:pStyle w:val="Heading5"/>
      <w:lvlText w:val="%1.%2.%3.%4.%5"/>
      <w:lvlJc w:val="left"/>
      <w:pPr>
        <w:tabs>
          <w:tab w:val="num" w:pos="0"/>
        </w:tabs>
        <w:ind w:left="0" w:hanging="0"/>
      </w:pPr>
      <w:rPr>
        <w:b w:val="false"/>
        <w:bCs w:val="false"/>
        <w:i w:val="false"/>
        <w:iCs w:val="false"/>
        <w:caps w:val="false"/>
        <w:smallCaps w:val="false"/>
        <w:strike w:val="false"/>
        <w:dstrike w:val="false"/>
        <w:vanish w:val="false"/>
        <w:color w:val="000000"/>
        <w:spacing w:val="0"/>
        <w:kern w:val="0"/>
        <w:position w:val="0"/>
        <w:sz w:val="20"/>
        <w:u w:val="none"/>
        <w:effect w:val="none"/>
        <w:vertAlign w:val="baseline"/>
        <w:em w:val="none"/>
      </w:rPr>
    </w:lvl>
    <w:lvl w:ilvl="5">
      <w:start w:val="1"/>
      <w:numFmt w:val="decimal"/>
      <w:pStyle w:val="Heading6"/>
      <w:lvlText w:val="%1.%2.%3.%4.%5.%6"/>
      <w:lvlJc w:val="left"/>
      <w:pPr>
        <w:tabs>
          <w:tab w:val="num" w:pos="0"/>
        </w:tabs>
        <w:ind w:left="0" w:hanging="0"/>
      </w:pPr>
      <w:rPr/>
    </w:lvl>
    <w:lvl w:ilvl="6">
      <w:start w:val="1"/>
      <w:numFmt w:val="decimal"/>
      <w:pStyle w:val="Heading7"/>
      <w:lvlText w:val="%1.%2.%3.%4.%5.%6.%7"/>
      <w:lvlJc w:val="left"/>
      <w:pPr>
        <w:tabs>
          <w:tab w:val="num" w:pos="0"/>
        </w:tabs>
        <w:ind w:left="0" w:hanging="0"/>
      </w:pPr>
      <w:rPr/>
    </w:lvl>
    <w:lvl w:ilvl="7">
      <w:start w:val="1"/>
      <w:numFmt w:val="decimal"/>
      <w:pStyle w:val="Heading8"/>
      <w:lvlText w:val="%1.%2.%3.%4.%5.%6.%7.%8"/>
      <w:lvlJc w:val="left"/>
      <w:pPr>
        <w:tabs>
          <w:tab w:val="num" w:pos="0"/>
        </w:tabs>
        <w:ind w:left="0" w:hanging="0"/>
      </w:pPr>
      <w:rPr/>
    </w:lvl>
    <w:lvl w:ilvl="8">
      <w:start w:val="1"/>
      <w:numFmt w:val="decimal"/>
      <w:pStyle w:val="Heading9"/>
      <w:lvlText w:val="%1.%2.%3.%4.%5.%6.%7.%8.%9"/>
      <w:lvlJc w:val="left"/>
      <w:pPr>
        <w:tabs>
          <w:tab w:val="num" w:pos="0"/>
        </w:tabs>
        <w:ind w:left="0" w:hanging="0"/>
      </w:pPr>
      <w:rPr/>
    </w:lvl>
  </w:abstractNum>
  <w:abstractNum w:abstractNumId="2">
    <w:lvl w:ilvl="0">
      <w:start w:val="1"/>
      <w:numFmt w:val="bullet"/>
      <w:lvlText w:val=""/>
      <w:lvlJc w:val="left"/>
      <w:pPr>
        <w:tabs>
          <w:tab w:val="num" w:pos="1636"/>
        </w:tabs>
        <w:ind w:left="1559" w:hanging="283"/>
      </w:pPr>
      <w:rPr>
        <w:rFonts w:ascii="Symbol" w:hAnsi="Symbol" w:cs="Symbol" w:hint="default"/>
        <w:color w:val="auto"/>
        <w:sz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
    <w:lvl w:ilvl="0">
      <w:start w:val="1"/>
      <w:numFmt w:val="bullet"/>
      <w:lvlText w:val=""/>
      <w:lvlJc w:val="left"/>
      <w:pPr>
        <w:tabs>
          <w:tab w:val="num" w:pos="0"/>
        </w:tabs>
        <w:ind w:left="567" w:hanging="283"/>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4">
    <w:lvl w:ilvl="0">
      <w:start w:val="1"/>
      <w:numFmt w:val="bullet"/>
      <w:lvlText w:val=""/>
      <w:lvlJc w:val="left"/>
      <w:pPr>
        <w:tabs>
          <w:tab w:val="num" w:pos="360"/>
        </w:tabs>
        <w:ind w:left="360" w:hanging="360"/>
      </w:pPr>
      <w:rPr>
        <w:rFonts w:ascii="Webdings" w:hAnsi="Webdings" w:cs="Webdings"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5">
    <w:lvl w:ilvl="0">
      <w:start w:val="1"/>
      <w:numFmt w:val="bullet"/>
      <w:lvlText w:val="-"/>
      <w:lvlJc w:val="left"/>
      <w:pPr>
        <w:tabs>
          <w:tab w:val="num" w:pos="1440"/>
        </w:tabs>
        <w:ind w:left="1440" w:hanging="360"/>
      </w:pPr>
      <w:rPr>
        <w:rFonts w:ascii="Arial" w:hAnsi="Arial" w:cs="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
    <w:lvl w:ilvl="0">
      <w:start w:val="1"/>
      <w:numFmt w:val="bullet"/>
      <w:lvlText w:val=""/>
      <w:lvlJc w:val="left"/>
      <w:pPr>
        <w:tabs>
          <w:tab w:val="num" w:pos="0"/>
        </w:tabs>
        <w:ind w:left="644" w:hanging="360"/>
      </w:pPr>
      <w:rPr>
        <w:rFonts w:ascii="Symbol" w:hAnsi="Symbol" w:cs="Symbol" w:hint="default"/>
      </w:rPr>
    </w:lvl>
    <w:lvl w:ilvl="1">
      <w:start w:val="1"/>
      <w:numFmt w:val="bullet"/>
      <w:lvlText w:val="o"/>
      <w:lvlJc w:val="left"/>
      <w:pPr>
        <w:tabs>
          <w:tab w:val="num" w:pos="0"/>
        </w:tabs>
        <w:ind w:left="1364" w:hanging="360"/>
      </w:pPr>
      <w:rPr>
        <w:rFonts w:ascii="Courier New" w:hAnsi="Courier New" w:cs="Courier New" w:hint="default"/>
      </w:rPr>
    </w:lvl>
    <w:lvl w:ilvl="2">
      <w:start w:val="1"/>
      <w:numFmt w:val="bullet"/>
      <w:lvlText w:val=""/>
      <w:lvlJc w:val="left"/>
      <w:pPr>
        <w:tabs>
          <w:tab w:val="num" w:pos="0"/>
        </w:tabs>
        <w:ind w:left="2084" w:hanging="360"/>
      </w:pPr>
      <w:rPr>
        <w:rFonts w:ascii="Wingdings" w:hAnsi="Wingdings" w:cs="Wingdings" w:hint="default"/>
      </w:rPr>
    </w:lvl>
    <w:lvl w:ilvl="3">
      <w:start w:val="1"/>
      <w:numFmt w:val="bullet"/>
      <w:lvlText w:val=""/>
      <w:lvlJc w:val="left"/>
      <w:pPr>
        <w:tabs>
          <w:tab w:val="num" w:pos="0"/>
        </w:tabs>
        <w:ind w:left="2804" w:hanging="360"/>
      </w:pPr>
      <w:rPr>
        <w:rFonts w:ascii="Symbol" w:hAnsi="Symbol" w:cs="Symbol" w:hint="default"/>
      </w:rPr>
    </w:lvl>
    <w:lvl w:ilvl="4">
      <w:start w:val="1"/>
      <w:numFmt w:val="bullet"/>
      <w:lvlText w:val="o"/>
      <w:lvlJc w:val="left"/>
      <w:pPr>
        <w:tabs>
          <w:tab w:val="num" w:pos="0"/>
        </w:tabs>
        <w:ind w:left="3524" w:hanging="360"/>
      </w:pPr>
      <w:rPr>
        <w:rFonts w:ascii="Courier New" w:hAnsi="Courier New" w:cs="Courier New" w:hint="default"/>
      </w:rPr>
    </w:lvl>
    <w:lvl w:ilvl="5">
      <w:start w:val="1"/>
      <w:numFmt w:val="bullet"/>
      <w:lvlText w:val=""/>
      <w:lvlJc w:val="left"/>
      <w:pPr>
        <w:tabs>
          <w:tab w:val="num" w:pos="0"/>
        </w:tabs>
        <w:ind w:left="4244" w:hanging="360"/>
      </w:pPr>
      <w:rPr>
        <w:rFonts w:ascii="Wingdings" w:hAnsi="Wingdings" w:cs="Wingdings" w:hint="default"/>
      </w:rPr>
    </w:lvl>
    <w:lvl w:ilvl="6">
      <w:start w:val="1"/>
      <w:numFmt w:val="bullet"/>
      <w:lvlText w:val=""/>
      <w:lvlJc w:val="left"/>
      <w:pPr>
        <w:tabs>
          <w:tab w:val="num" w:pos="0"/>
        </w:tabs>
        <w:ind w:left="4964" w:hanging="360"/>
      </w:pPr>
      <w:rPr>
        <w:rFonts w:ascii="Symbol" w:hAnsi="Symbol" w:cs="Symbol" w:hint="default"/>
      </w:rPr>
    </w:lvl>
    <w:lvl w:ilvl="7">
      <w:start w:val="1"/>
      <w:numFmt w:val="bullet"/>
      <w:lvlText w:val="o"/>
      <w:lvlJc w:val="left"/>
      <w:pPr>
        <w:tabs>
          <w:tab w:val="num" w:pos="0"/>
        </w:tabs>
        <w:ind w:left="5684" w:hanging="360"/>
      </w:pPr>
      <w:rPr>
        <w:rFonts w:ascii="Courier New" w:hAnsi="Courier New" w:cs="Courier New" w:hint="default"/>
      </w:rPr>
    </w:lvl>
    <w:lvl w:ilvl="8">
      <w:start w:val="1"/>
      <w:numFmt w:val="bullet"/>
      <w:lvlText w:val=""/>
      <w:lvlJc w:val="left"/>
      <w:pPr>
        <w:tabs>
          <w:tab w:val="num" w:pos="0"/>
        </w:tabs>
        <w:ind w:left="6404" w:hanging="360"/>
      </w:pPr>
      <w:rPr>
        <w:rFonts w:ascii="Wingdings" w:hAnsi="Wingdings" w:cs="Wingdings" w:hint="default"/>
      </w:rPr>
    </w:lvl>
  </w:abstractNum>
  <w:abstractNum w:abstractNumId="7">
    <w:lvl w:ilvl="0">
      <w:start w:val="1"/>
      <w:numFmt w:val="bullet"/>
      <w:lvlText w:val=""/>
      <w:lvlJc w:val="left"/>
      <w:pPr>
        <w:tabs>
          <w:tab w:val="num" w:pos="643"/>
        </w:tabs>
        <w:ind w:left="643"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8">
    <w:lvl w:ilvl="0">
      <w:start w:val="1"/>
      <w:numFmt w:val="bullet"/>
      <w:lvlText w:val=""/>
      <w:lvlJc w:val="left"/>
      <w:pPr>
        <w:tabs>
          <w:tab w:val="num" w:pos="0"/>
        </w:tabs>
        <w:ind w:left="927" w:hanging="360"/>
      </w:pPr>
      <w:rPr>
        <w:rFonts w:ascii="Wingdings 2" w:hAnsi="Wingdings 2" w:cs="Wingdings 2" w:hint="default"/>
        <w:b w:val="false"/>
        <w:i w:val="false"/>
        <w:caps w:val="false"/>
        <w:smallCaps w:val="false"/>
        <w:strike w:val="false"/>
        <w:dstrike w:val="false"/>
        <w:vanish w:val="false"/>
        <w:color w:val="auto"/>
        <w:position w:val="0"/>
        <w:sz w:val="20"/>
        <w:szCs w:val="20"/>
        <w:u w:val="none"/>
        <w:vertAlign w:val="baseline"/>
      </w:rPr>
    </w:lvl>
    <w:lvl w:ilvl="1">
      <w:start w:val="1"/>
      <w:numFmt w:val="bullet"/>
      <w:lvlText w:val="o"/>
      <w:lvlJc w:val="left"/>
      <w:pPr>
        <w:tabs>
          <w:tab w:val="num" w:pos="0"/>
        </w:tabs>
        <w:ind w:left="1724" w:hanging="360"/>
      </w:pPr>
      <w:rPr>
        <w:rFonts w:ascii="Courier New" w:hAnsi="Courier New" w:cs="Courier New" w:hint="default"/>
      </w:rPr>
    </w:lvl>
    <w:lvl w:ilvl="2">
      <w:start w:val="1"/>
      <w:numFmt w:val="bullet"/>
      <w:lvlText w:val=""/>
      <w:lvlJc w:val="left"/>
      <w:pPr>
        <w:tabs>
          <w:tab w:val="num" w:pos="0"/>
        </w:tabs>
        <w:ind w:left="2444" w:hanging="360"/>
      </w:pPr>
      <w:rPr>
        <w:rFonts w:ascii="Wingdings" w:hAnsi="Wingdings" w:cs="Wingdings" w:hint="default"/>
      </w:rPr>
    </w:lvl>
    <w:lvl w:ilvl="3">
      <w:start w:val="1"/>
      <w:numFmt w:val="bullet"/>
      <w:lvlText w:val=""/>
      <w:lvlJc w:val="left"/>
      <w:pPr>
        <w:tabs>
          <w:tab w:val="num" w:pos="0"/>
        </w:tabs>
        <w:ind w:left="3164" w:hanging="360"/>
      </w:pPr>
      <w:rPr>
        <w:rFonts w:ascii="Symbol" w:hAnsi="Symbol" w:cs="Symbol" w:hint="default"/>
      </w:rPr>
    </w:lvl>
    <w:lvl w:ilvl="4">
      <w:start w:val="1"/>
      <w:numFmt w:val="bullet"/>
      <w:lvlText w:val="o"/>
      <w:lvlJc w:val="left"/>
      <w:pPr>
        <w:tabs>
          <w:tab w:val="num" w:pos="0"/>
        </w:tabs>
        <w:ind w:left="3884" w:hanging="360"/>
      </w:pPr>
      <w:rPr>
        <w:rFonts w:ascii="Courier New" w:hAnsi="Courier New" w:cs="Courier New" w:hint="default"/>
      </w:rPr>
    </w:lvl>
    <w:lvl w:ilvl="5">
      <w:start w:val="1"/>
      <w:numFmt w:val="bullet"/>
      <w:lvlText w:val=""/>
      <w:lvlJc w:val="left"/>
      <w:pPr>
        <w:tabs>
          <w:tab w:val="num" w:pos="0"/>
        </w:tabs>
        <w:ind w:left="4604" w:hanging="360"/>
      </w:pPr>
      <w:rPr>
        <w:rFonts w:ascii="Wingdings" w:hAnsi="Wingdings" w:cs="Wingdings" w:hint="default"/>
      </w:rPr>
    </w:lvl>
    <w:lvl w:ilvl="6">
      <w:start w:val="1"/>
      <w:numFmt w:val="bullet"/>
      <w:lvlText w:val=""/>
      <w:lvlJc w:val="left"/>
      <w:pPr>
        <w:tabs>
          <w:tab w:val="num" w:pos="0"/>
        </w:tabs>
        <w:ind w:left="5324" w:hanging="360"/>
      </w:pPr>
      <w:rPr>
        <w:rFonts w:ascii="Symbol" w:hAnsi="Symbol" w:cs="Symbol" w:hint="default"/>
      </w:rPr>
    </w:lvl>
    <w:lvl w:ilvl="7">
      <w:start w:val="1"/>
      <w:numFmt w:val="bullet"/>
      <w:lvlText w:val="o"/>
      <w:lvlJc w:val="left"/>
      <w:pPr>
        <w:tabs>
          <w:tab w:val="num" w:pos="0"/>
        </w:tabs>
        <w:ind w:left="6044" w:hanging="360"/>
      </w:pPr>
      <w:rPr>
        <w:rFonts w:ascii="Courier New" w:hAnsi="Courier New" w:cs="Courier New" w:hint="default"/>
      </w:rPr>
    </w:lvl>
    <w:lvl w:ilvl="8">
      <w:start w:val="1"/>
      <w:numFmt w:val="bullet"/>
      <w:lvlText w:val=""/>
      <w:lvlJc w:val="left"/>
      <w:pPr>
        <w:tabs>
          <w:tab w:val="num" w:pos="0"/>
        </w:tabs>
        <w:ind w:left="6764" w:hanging="360"/>
      </w:pPr>
      <w:rPr>
        <w:rFonts w:ascii="Wingdings" w:hAnsi="Wingdings" w:cs="Wingdings" w:hint="default"/>
      </w:rPr>
    </w:lvl>
  </w:abstractNum>
  <w:abstractNum w:abstractNumId="9">
    <w:lvl w:ilvl="0">
      <w:start w:val="1"/>
      <w:numFmt w:val="bullet"/>
      <w:lvlText w:val=""/>
      <w:lvlJc w:val="left"/>
      <w:pPr>
        <w:tabs>
          <w:tab w:val="num" w:pos="0"/>
        </w:tabs>
        <w:ind w:left="644" w:hanging="360"/>
      </w:pPr>
      <w:rPr>
        <w:rFonts w:ascii="Wingdings" w:hAnsi="Wingdings" w:cs="Wingdings" w:hint="default"/>
      </w:rPr>
    </w:lvl>
    <w:lvl w:ilvl="1">
      <w:start w:val="1"/>
      <w:numFmt w:val="bullet"/>
      <w:lvlText w:val="o"/>
      <w:lvlJc w:val="left"/>
      <w:pPr>
        <w:tabs>
          <w:tab w:val="num" w:pos="0"/>
        </w:tabs>
        <w:ind w:left="1364" w:hanging="360"/>
      </w:pPr>
      <w:rPr>
        <w:rFonts w:ascii="Courier New" w:hAnsi="Courier New" w:cs="Courier New" w:hint="default"/>
      </w:rPr>
    </w:lvl>
    <w:lvl w:ilvl="2">
      <w:start w:val="1"/>
      <w:numFmt w:val="bullet"/>
      <w:lvlText w:val=""/>
      <w:lvlJc w:val="left"/>
      <w:pPr>
        <w:tabs>
          <w:tab w:val="num" w:pos="0"/>
        </w:tabs>
        <w:ind w:left="2084" w:hanging="360"/>
      </w:pPr>
      <w:rPr>
        <w:rFonts w:ascii="Wingdings" w:hAnsi="Wingdings" w:cs="Wingdings" w:hint="default"/>
      </w:rPr>
    </w:lvl>
    <w:lvl w:ilvl="3">
      <w:start w:val="1"/>
      <w:numFmt w:val="bullet"/>
      <w:lvlText w:val=""/>
      <w:lvlJc w:val="left"/>
      <w:pPr>
        <w:tabs>
          <w:tab w:val="num" w:pos="0"/>
        </w:tabs>
        <w:ind w:left="2804" w:hanging="360"/>
      </w:pPr>
      <w:rPr>
        <w:rFonts w:ascii="Symbol" w:hAnsi="Symbol" w:cs="Symbol" w:hint="default"/>
      </w:rPr>
    </w:lvl>
    <w:lvl w:ilvl="4">
      <w:start w:val="1"/>
      <w:numFmt w:val="bullet"/>
      <w:lvlText w:val="o"/>
      <w:lvlJc w:val="left"/>
      <w:pPr>
        <w:tabs>
          <w:tab w:val="num" w:pos="0"/>
        </w:tabs>
        <w:ind w:left="3524" w:hanging="360"/>
      </w:pPr>
      <w:rPr>
        <w:rFonts w:ascii="Courier New" w:hAnsi="Courier New" w:cs="Courier New" w:hint="default"/>
      </w:rPr>
    </w:lvl>
    <w:lvl w:ilvl="5">
      <w:start w:val="1"/>
      <w:numFmt w:val="bullet"/>
      <w:lvlText w:val=""/>
      <w:lvlJc w:val="left"/>
      <w:pPr>
        <w:tabs>
          <w:tab w:val="num" w:pos="0"/>
        </w:tabs>
        <w:ind w:left="4244" w:hanging="360"/>
      </w:pPr>
      <w:rPr>
        <w:rFonts w:ascii="Wingdings" w:hAnsi="Wingdings" w:cs="Wingdings" w:hint="default"/>
      </w:rPr>
    </w:lvl>
    <w:lvl w:ilvl="6">
      <w:start w:val="1"/>
      <w:numFmt w:val="bullet"/>
      <w:lvlText w:val=""/>
      <w:lvlJc w:val="left"/>
      <w:pPr>
        <w:tabs>
          <w:tab w:val="num" w:pos="0"/>
        </w:tabs>
        <w:ind w:left="4964" w:hanging="360"/>
      </w:pPr>
      <w:rPr>
        <w:rFonts w:ascii="Symbol" w:hAnsi="Symbol" w:cs="Symbol" w:hint="default"/>
      </w:rPr>
    </w:lvl>
    <w:lvl w:ilvl="7">
      <w:start w:val="1"/>
      <w:numFmt w:val="bullet"/>
      <w:lvlText w:val="o"/>
      <w:lvlJc w:val="left"/>
      <w:pPr>
        <w:tabs>
          <w:tab w:val="num" w:pos="0"/>
        </w:tabs>
        <w:ind w:left="5684" w:hanging="360"/>
      </w:pPr>
      <w:rPr>
        <w:rFonts w:ascii="Courier New" w:hAnsi="Courier New" w:cs="Courier New" w:hint="default"/>
      </w:rPr>
    </w:lvl>
    <w:lvl w:ilvl="8">
      <w:start w:val="1"/>
      <w:numFmt w:val="bullet"/>
      <w:lvlText w:val=""/>
      <w:lvlJc w:val="left"/>
      <w:pPr>
        <w:tabs>
          <w:tab w:val="num" w:pos="0"/>
        </w:tabs>
        <w:ind w:left="6404" w:hanging="360"/>
      </w:pPr>
      <w:rPr>
        <w:rFonts w:ascii="Wingdings" w:hAnsi="Wingdings" w:cs="Wingdings" w:hint="default"/>
      </w:rPr>
    </w:lvl>
  </w:abstractNum>
  <w:abstractNum w:abstractNumId="10">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440"/>
        </w:tabs>
        <w:ind w:left="1440" w:hanging="360"/>
      </w:pPr>
      <w:rPr>
        <w:rFonts w:ascii="Symbol" w:hAnsi="Symbol" w:cs="Symbol"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1">
    <w:lvl w:ilvl="0">
      <w:start w:val="1"/>
      <w:numFmt w:val="bullet"/>
      <w:lvlText w:val="–"/>
      <w:lvlJc w:val="left"/>
      <w:pPr>
        <w:tabs>
          <w:tab w:val="num" w:pos="360"/>
        </w:tabs>
        <w:ind w:left="227" w:hanging="227"/>
      </w:pPr>
      <w:rPr>
        <w:rFonts w:ascii="Times New Roman" w:hAnsi="Times New Roman" w:cs="Times New Roman"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12">
    <w:lvl w:ilvl="0">
      <w:start w:val="1"/>
      <w:numFmt w:val="bullet"/>
      <w:lvlText w:val=""/>
      <w:lvlJc w:val="left"/>
      <w:pPr>
        <w:tabs>
          <w:tab w:val="num" w:pos="0"/>
        </w:tabs>
        <w:ind w:left="720" w:hanging="360"/>
      </w:pPr>
      <w:rPr>
        <w:rFonts w:ascii="Symbol" w:hAnsi="Symbol" w:cs="Symbol" w:hint="default"/>
        <w:color w:val="C0504D"/>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lvl w:ilvl="0">
      <w:start w:val="1"/>
      <w:numFmt w:val="bullet"/>
      <w:lvlText w:val=""/>
      <w:lvlJc w:val="left"/>
      <w:pPr>
        <w:tabs>
          <w:tab w:val="num" w:pos="0"/>
        </w:tabs>
        <w:ind w:left="998" w:hanging="360"/>
      </w:pPr>
      <w:rPr>
        <w:rFonts w:ascii="Symbol" w:hAnsi="Symbol" w:cs="Symbol" w:hint="default"/>
      </w:rPr>
    </w:lvl>
    <w:lvl w:ilvl="1">
      <w:start w:val="1"/>
      <w:numFmt w:val="bullet"/>
      <w:lvlText w:val="o"/>
      <w:lvlJc w:val="left"/>
      <w:pPr>
        <w:tabs>
          <w:tab w:val="num" w:pos="0"/>
        </w:tabs>
        <w:ind w:left="1718" w:hanging="360"/>
      </w:pPr>
      <w:rPr>
        <w:rFonts w:ascii="Courier New" w:hAnsi="Courier New" w:cs="Courier New" w:hint="default"/>
      </w:rPr>
    </w:lvl>
    <w:lvl w:ilvl="2">
      <w:start w:val="1"/>
      <w:numFmt w:val="bullet"/>
      <w:lvlText w:val=""/>
      <w:lvlJc w:val="left"/>
      <w:pPr>
        <w:tabs>
          <w:tab w:val="num" w:pos="0"/>
        </w:tabs>
        <w:ind w:left="2438" w:hanging="360"/>
      </w:pPr>
      <w:rPr>
        <w:rFonts w:ascii="Wingdings" w:hAnsi="Wingdings" w:cs="Wingdings" w:hint="default"/>
      </w:rPr>
    </w:lvl>
    <w:lvl w:ilvl="3">
      <w:start w:val="1"/>
      <w:numFmt w:val="bullet"/>
      <w:lvlText w:val=""/>
      <w:lvlJc w:val="left"/>
      <w:pPr>
        <w:tabs>
          <w:tab w:val="num" w:pos="0"/>
        </w:tabs>
        <w:ind w:left="3158" w:hanging="360"/>
      </w:pPr>
      <w:rPr>
        <w:rFonts w:ascii="Symbol" w:hAnsi="Symbol" w:cs="Symbol" w:hint="default"/>
      </w:rPr>
    </w:lvl>
    <w:lvl w:ilvl="4">
      <w:start w:val="1"/>
      <w:numFmt w:val="bullet"/>
      <w:lvlText w:val="o"/>
      <w:lvlJc w:val="left"/>
      <w:pPr>
        <w:tabs>
          <w:tab w:val="num" w:pos="0"/>
        </w:tabs>
        <w:ind w:left="3878" w:hanging="360"/>
      </w:pPr>
      <w:rPr>
        <w:rFonts w:ascii="Courier New" w:hAnsi="Courier New" w:cs="Courier New" w:hint="default"/>
      </w:rPr>
    </w:lvl>
    <w:lvl w:ilvl="5">
      <w:start w:val="1"/>
      <w:numFmt w:val="bullet"/>
      <w:lvlText w:val=""/>
      <w:lvlJc w:val="left"/>
      <w:pPr>
        <w:tabs>
          <w:tab w:val="num" w:pos="0"/>
        </w:tabs>
        <w:ind w:left="4598" w:hanging="360"/>
      </w:pPr>
      <w:rPr>
        <w:rFonts w:ascii="Wingdings" w:hAnsi="Wingdings" w:cs="Wingdings" w:hint="default"/>
      </w:rPr>
    </w:lvl>
    <w:lvl w:ilvl="6">
      <w:start w:val="1"/>
      <w:numFmt w:val="bullet"/>
      <w:lvlText w:val=""/>
      <w:lvlJc w:val="left"/>
      <w:pPr>
        <w:tabs>
          <w:tab w:val="num" w:pos="0"/>
        </w:tabs>
        <w:ind w:left="5318" w:hanging="360"/>
      </w:pPr>
      <w:rPr>
        <w:rFonts w:ascii="Symbol" w:hAnsi="Symbol" w:cs="Symbol" w:hint="default"/>
      </w:rPr>
    </w:lvl>
    <w:lvl w:ilvl="7">
      <w:start w:val="1"/>
      <w:numFmt w:val="bullet"/>
      <w:lvlText w:val="o"/>
      <w:lvlJc w:val="left"/>
      <w:pPr>
        <w:tabs>
          <w:tab w:val="num" w:pos="0"/>
        </w:tabs>
        <w:ind w:left="6038" w:hanging="360"/>
      </w:pPr>
      <w:rPr>
        <w:rFonts w:ascii="Courier New" w:hAnsi="Courier New" w:cs="Courier New" w:hint="default"/>
      </w:rPr>
    </w:lvl>
    <w:lvl w:ilvl="8">
      <w:start w:val="1"/>
      <w:numFmt w:val="bullet"/>
      <w:lvlText w:val=""/>
      <w:lvlJc w:val="left"/>
      <w:pPr>
        <w:tabs>
          <w:tab w:val="num" w:pos="0"/>
        </w:tabs>
        <w:ind w:left="6758" w:hanging="360"/>
      </w:pPr>
      <w:rPr>
        <w:rFonts w:ascii="Wingdings" w:hAnsi="Wingdings" w:cs="Wingdings" w:hint="default"/>
      </w:rPr>
    </w:lvl>
  </w:abstractNum>
  <w:abstractNum w:abstractNumId="14">
    <w:lvl w:ilvl="0">
      <w:start w:val="1"/>
      <w:numFmt w:val="bullet"/>
      <w:lvlText w:val=""/>
      <w:lvlJc w:val="left"/>
      <w:pPr>
        <w:tabs>
          <w:tab w:val="num" w:pos="720"/>
        </w:tabs>
        <w:ind w:left="720" w:hanging="360"/>
      </w:pPr>
      <w:rPr>
        <w:rFonts w:ascii="Symbol" w:hAnsi="Symbol" w:cs="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5">
    <w:lvl w:ilvl="0">
      <w:start w:val="1"/>
      <w:numFmt w:val="bullet"/>
      <w:lvlText w:val=""/>
      <w:lvlJc w:val="left"/>
      <w:pPr>
        <w:tabs>
          <w:tab w:val="num" w:pos="720"/>
        </w:tabs>
        <w:ind w:left="720" w:hanging="360"/>
      </w:pPr>
      <w:rPr>
        <w:rFonts w:ascii="Symbol" w:hAnsi="Symbol" w:cs="Symbol" w:hint="default"/>
        <w:color w:val="auto"/>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lvl w:ilvl="0">
      <w:numFmt w:val="decimal"/>
      <w:lvlText w:val="ARTICLE %1."/>
      <w:lvlJc w:val="left"/>
      <w:pPr>
        <w:tabs>
          <w:tab w:val="num" w:pos="0"/>
        </w:tabs>
        <w:ind w:left="1779" w:hanging="360"/>
      </w:pPr>
      <w:rPr/>
    </w:lvl>
    <w:lvl w:ilvl="1">
      <w:start w:val="1"/>
      <w:numFmt w:val="decimal"/>
      <w:suff w:val="space"/>
      <w:lvlText w:val="Article %1.%2"/>
      <w:lvlJc w:val="left"/>
      <w:pPr>
        <w:tabs>
          <w:tab w:val="num" w:pos="0"/>
        </w:tabs>
        <w:ind w:left="6493" w:hanging="113"/>
      </w:pPr>
      <w:rPr/>
    </w:lvl>
    <w:lvl w:ilvl="2">
      <w:start w:val="1"/>
      <w:numFmt w:val="decimal"/>
      <w:lvlText w:val="Article %1.%2.%3"/>
      <w:lvlJc w:val="left"/>
      <w:pPr>
        <w:tabs>
          <w:tab w:val="num" w:pos="1730"/>
        </w:tabs>
        <w:ind w:left="1730" w:hanging="737"/>
      </w:pPr>
      <w:rPr/>
    </w:lvl>
    <w:lvl w:ilvl="3">
      <w:start w:val="1"/>
      <w:numFmt w:val="decimal"/>
      <w:lvlText w:val="%1.%2.%3.%4"/>
      <w:lvlJc w:val="left"/>
      <w:pPr>
        <w:tabs>
          <w:tab w:val="num" w:pos="1021"/>
        </w:tabs>
        <w:ind w:left="993" w:hanging="0"/>
      </w:pPr>
      <w:rPr>
        <w:b w:val="false"/>
        <w:bCs w:val="false"/>
        <w:i w:val="false"/>
        <w:iCs w:val="false"/>
        <w:caps w:val="false"/>
        <w:smallCaps w:val="false"/>
        <w:strike w:val="false"/>
        <w:dstrike w:val="false"/>
        <w:vanish w:val="false"/>
        <w:color w:val="00B050"/>
        <w:spacing w:val="0"/>
        <w:kern w:val="0"/>
        <w:position w:val="0"/>
        <w:sz w:val="20"/>
        <w:u w:val="none"/>
        <w:effect w:val="none"/>
        <w:vertAlign w:val="baseline"/>
        <w:em w:val="none"/>
      </w:rPr>
    </w:lvl>
    <w:lvl w:ilvl="4">
      <w:start w:val="1"/>
      <w:numFmt w:val="decimal"/>
      <w:lvlText w:val="%1.%2.%3.%4.%5"/>
      <w:lvlJc w:val="left"/>
      <w:pPr>
        <w:tabs>
          <w:tab w:val="num" w:pos="0"/>
        </w:tabs>
        <w:ind w:left="0" w:hanging="0"/>
      </w:pPr>
      <w:rPr>
        <w:b w:val="false"/>
        <w:bCs w:val="false"/>
        <w:i w:val="false"/>
        <w:iCs w:val="false"/>
        <w:caps w:val="false"/>
        <w:smallCaps w:val="false"/>
        <w:strike w:val="false"/>
        <w:dstrike w:val="false"/>
        <w:vanish w:val="false"/>
        <w:color w:val="000000"/>
        <w:spacing w:val="0"/>
        <w:kern w:val="0"/>
        <w:position w:val="0"/>
        <w:sz w:val="20"/>
        <w:u w:val="none"/>
        <w:effect w:val="none"/>
        <w:vertAlign w:val="baseline"/>
        <w:em w:val="none"/>
      </w:rPr>
    </w:lvl>
    <w:lvl w:ilvl="5">
      <w:start w:val="1"/>
      <w:numFmt w:val="decimal"/>
      <w:lvlText w:val="%1.%2.%3.%4.%5.%6"/>
      <w:lvlJc w:val="left"/>
      <w:pPr>
        <w:tabs>
          <w:tab w:val="num" w:pos="0"/>
        </w:tabs>
        <w:ind w:left="0" w:hanging="0"/>
      </w:pPr>
      <w:rPr/>
    </w:lvl>
    <w:lvl w:ilvl="6">
      <w:start w:val="1"/>
      <w:numFmt w:val="decimal"/>
      <w:lvlText w:val="%1.%2.%3.%4.%5.%6.%7"/>
      <w:lvlJc w:val="left"/>
      <w:pPr>
        <w:tabs>
          <w:tab w:val="num" w:pos="0"/>
        </w:tabs>
        <w:ind w:left="0" w:hanging="0"/>
      </w:pPr>
      <w:rPr/>
    </w:lvl>
    <w:lvl w:ilvl="7">
      <w:start w:val="1"/>
      <w:numFmt w:val="decimal"/>
      <w:lvlText w:val="%1.%2.%3.%4.%5.%6.%7.%8"/>
      <w:lvlJc w:val="left"/>
      <w:pPr>
        <w:tabs>
          <w:tab w:val="num" w:pos="0"/>
        </w:tabs>
        <w:ind w:left="0" w:hanging="0"/>
      </w:pPr>
      <w:rPr/>
    </w:lvl>
    <w:lvl w:ilvl="8">
      <w:start w:val="1"/>
      <w:numFmt w:val="decimal"/>
      <w:lvlText w:val="%1.%2.%3.%4.%5.%6.%7.%8.%9"/>
      <w:lvlJc w:val="left"/>
      <w:pPr>
        <w:tabs>
          <w:tab w:val="num" w:pos="0"/>
        </w:tabs>
        <w:ind w:left="0" w:hanging="0"/>
      </w:pPr>
      <w:rPr/>
    </w:lvl>
  </w:abstractNum>
  <w:abstractNum w:abstractNumId="20">
    <w:lvl w:ilvl="0">
      <w:numFmt w:val="decimal"/>
      <w:lvlText w:val="ARTICLE %1."/>
      <w:lvlJc w:val="left"/>
      <w:pPr>
        <w:tabs>
          <w:tab w:val="num" w:pos="0"/>
        </w:tabs>
        <w:ind w:left="1779" w:hanging="360"/>
      </w:pPr>
      <w:rPr/>
    </w:lvl>
    <w:lvl w:ilvl="1">
      <w:start w:val="1"/>
      <w:numFmt w:val="decimal"/>
      <w:suff w:val="space"/>
      <w:lvlText w:val="Article %1.%2"/>
      <w:lvlJc w:val="left"/>
      <w:pPr>
        <w:tabs>
          <w:tab w:val="num" w:pos="0"/>
        </w:tabs>
        <w:ind w:left="6493" w:hanging="113"/>
      </w:pPr>
      <w:rPr/>
    </w:lvl>
    <w:lvl w:ilvl="2">
      <w:start w:val="1"/>
      <w:numFmt w:val="decimal"/>
      <w:lvlText w:val="Article %1.%2.%3"/>
      <w:lvlJc w:val="left"/>
      <w:pPr>
        <w:tabs>
          <w:tab w:val="num" w:pos="1730"/>
        </w:tabs>
        <w:ind w:left="1730" w:hanging="737"/>
      </w:pPr>
      <w:rPr/>
    </w:lvl>
    <w:lvl w:ilvl="3">
      <w:start w:val="1"/>
      <w:numFmt w:val="decimal"/>
      <w:lvlText w:val="%1.%2.%3.%4"/>
      <w:lvlJc w:val="left"/>
      <w:pPr>
        <w:tabs>
          <w:tab w:val="num" w:pos="1021"/>
        </w:tabs>
        <w:ind w:left="993" w:hanging="0"/>
      </w:pPr>
      <w:rPr>
        <w:b w:val="false"/>
        <w:bCs w:val="false"/>
        <w:i w:val="false"/>
        <w:iCs w:val="false"/>
        <w:caps w:val="false"/>
        <w:smallCaps w:val="false"/>
        <w:strike w:val="false"/>
        <w:dstrike w:val="false"/>
        <w:vanish w:val="false"/>
        <w:color w:val="00B050"/>
        <w:spacing w:val="0"/>
        <w:kern w:val="0"/>
        <w:position w:val="0"/>
        <w:sz w:val="20"/>
        <w:u w:val="none"/>
        <w:effect w:val="none"/>
        <w:vertAlign w:val="baseline"/>
        <w:em w:val="none"/>
      </w:rPr>
    </w:lvl>
    <w:lvl w:ilvl="4">
      <w:start w:val="1"/>
      <w:numFmt w:val="decimal"/>
      <w:lvlText w:val="%1.%2.%3.%4.%5"/>
      <w:lvlJc w:val="left"/>
      <w:pPr>
        <w:tabs>
          <w:tab w:val="num" w:pos="0"/>
        </w:tabs>
        <w:ind w:left="0" w:hanging="0"/>
      </w:pPr>
      <w:rPr>
        <w:b w:val="false"/>
        <w:bCs w:val="false"/>
        <w:i w:val="false"/>
        <w:iCs w:val="false"/>
        <w:caps w:val="false"/>
        <w:smallCaps w:val="false"/>
        <w:strike w:val="false"/>
        <w:dstrike w:val="false"/>
        <w:vanish w:val="false"/>
        <w:color w:val="000000"/>
        <w:spacing w:val="0"/>
        <w:kern w:val="0"/>
        <w:position w:val="0"/>
        <w:sz w:val="20"/>
        <w:u w:val="none"/>
        <w:effect w:val="none"/>
        <w:vertAlign w:val="baseline"/>
        <w:em w:val="none"/>
      </w:rPr>
    </w:lvl>
    <w:lvl w:ilvl="5">
      <w:start w:val="1"/>
      <w:numFmt w:val="decimal"/>
      <w:lvlText w:val="%1.%2.%3.%4.%5.%6"/>
      <w:lvlJc w:val="left"/>
      <w:pPr>
        <w:tabs>
          <w:tab w:val="num" w:pos="0"/>
        </w:tabs>
        <w:ind w:left="0" w:hanging="0"/>
      </w:pPr>
      <w:rPr/>
    </w:lvl>
    <w:lvl w:ilvl="6">
      <w:start w:val="1"/>
      <w:numFmt w:val="decimal"/>
      <w:lvlText w:val="%1.%2.%3.%4.%5.%6.%7"/>
      <w:lvlJc w:val="left"/>
      <w:pPr>
        <w:tabs>
          <w:tab w:val="num" w:pos="0"/>
        </w:tabs>
        <w:ind w:left="0" w:hanging="0"/>
      </w:pPr>
      <w:rPr/>
    </w:lvl>
    <w:lvl w:ilvl="7">
      <w:start w:val="1"/>
      <w:numFmt w:val="decimal"/>
      <w:lvlText w:val="%1.%2.%3.%4.%5.%6.%7.%8"/>
      <w:lvlJc w:val="left"/>
      <w:pPr>
        <w:tabs>
          <w:tab w:val="num" w:pos="0"/>
        </w:tabs>
        <w:ind w:left="0" w:hanging="0"/>
      </w:pPr>
      <w:rPr/>
    </w:lvl>
    <w:lvl w:ilvl="8">
      <w:start w:val="1"/>
      <w:numFmt w:val="decimal"/>
      <w:lvlText w:val="%1.%2.%3.%4.%5.%6.%7.%8.%9"/>
      <w:lvlJc w:val="left"/>
      <w:pPr>
        <w:tabs>
          <w:tab w:val="num" w:pos="0"/>
        </w:tabs>
        <w:ind w:left="0" w:hanging="0"/>
      </w:pPr>
      <w:rPr/>
    </w:lvl>
  </w:abstractNum>
  <w:abstractNum w:abstractNumId="21">
    <w:lvl w:ilvl="0">
      <w:numFmt w:val="decimal"/>
      <w:lvlText w:val="ARTICLE %1."/>
      <w:lvlJc w:val="left"/>
      <w:pPr>
        <w:tabs>
          <w:tab w:val="num" w:pos="0"/>
        </w:tabs>
        <w:ind w:left="1779" w:hanging="360"/>
      </w:pPr>
      <w:rPr/>
    </w:lvl>
    <w:lvl w:ilvl="1">
      <w:start w:val="1"/>
      <w:numFmt w:val="decimal"/>
      <w:suff w:val="space"/>
      <w:lvlText w:val="Article %1.%2"/>
      <w:lvlJc w:val="left"/>
      <w:pPr>
        <w:tabs>
          <w:tab w:val="num" w:pos="0"/>
        </w:tabs>
        <w:ind w:left="6493" w:hanging="113"/>
      </w:pPr>
      <w:rPr/>
    </w:lvl>
    <w:lvl w:ilvl="2">
      <w:start w:val="1"/>
      <w:numFmt w:val="decimal"/>
      <w:lvlText w:val="Article %1.%2.%3"/>
      <w:lvlJc w:val="left"/>
      <w:pPr>
        <w:tabs>
          <w:tab w:val="num" w:pos="1730"/>
        </w:tabs>
        <w:ind w:left="1730" w:hanging="737"/>
      </w:pPr>
      <w:rPr/>
    </w:lvl>
    <w:lvl w:ilvl="3">
      <w:start w:val="1"/>
      <w:numFmt w:val="decimal"/>
      <w:lvlText w:val="%1.%2.%3.%4"/>
      <w:lvlJc w:val="left"/>
      <w:pPr>
        <w:tabs>
          <w:tab w:val="num" w:pos="1021"/>
        </w:tabs>
        <w:ind w:left="993" w:hanging="0"/>
      </w:pPr>
      <w:rPr>
        <w:b w:val="false"/>
        <w:bCs w:val="false"/>
        <w:i w:val="false"/>
        <w:iCs w:val="false"/>
        <w:caps w:val="false"/>
        <w:smallCaps w:val="false"/>
        <w:strike w:val="false"/>
        <w:dstrike w:val="false"/>
        <w:vanish w:val="false"/>
        <w:color w:val="00B050"/>
        <w:spacing w:val="0"/>
        <w:kern w:val="0"/>
        <w:position w:val="0"/>
        <w:sz w:val="20"/>
        <w:u w:val="none"/>
        <w:effect w:val="none"/>
        <w:vertAlign w:val="baseline"/>
        <w:em w:val="none"/>
      </w:rPr>
    </w:lvl>
    <w:lvl w:ilvl="4">
      <w:start w:val="1"/>
      <w:numFmt w:val="decimal"/>
      <w:lvlText w:val="%1.%2.%3.%4.%5"/>
      <w:lvlJc w:val="left"/>
      <w:pPr>
        <w:tabs>
          <w:tab w:val="num" w:pos="0"/>
        </w:tabs>
        <w:ind w:left="0" w:hanging="0"/>
      </w:pPr>
      <w:rPr>
        <w:b w:val="false"/>
        <w:bCs w:val="false"/>
        <w:i w:val="false"/>
        <w:iCs w:val="false"/>
        <w:caps w:val="false"/>
        <w:smallCaps w:val="false"/>
        <w:strike w:val="false"/>
        <w:dstrike w:val="false"/>
        <w:vanish w:val="false"/>
        <w:color w:val="000000"/>
        <w:spacing w:val="0"/>
        <w:kern w:val="0"/>
        <w:position w:val="0"/>
        <w:sz w:val="20"/>
        <w:u w:val="none"/>
        <w:effect w:val="none"/>
        <w:vertAlign w:val="baseline"/>
        <w:em w:val="none"/>
      </w:rPr>
    </w:lvl>
    <w:lvl w:ilvl="5">
      <w:start w:val="1"/>
      <w:numFmt w:val="decimal"/>
      <w:lvlText w:val="%1.%2.%3.%4.%5.%6"/>
      <w:lvlJc w:val="left"/>
      <w:pPr>
        <w:tabs>
          <w:tab w:val="num" w:pos="0"/>
        </w:tabs>
        <w:ind w:left="0" w:hanging="0"/>
      </w:pPr>
      <w:rPr/>
    </w:lvl>
    <w:lvl w:ilvl="6">
      <w:start w:val="1"/>
      <w:numFmt w:val="decimal"/>
      <w:lvlText w:val="%1.%2.%3.%4.%5.%6.%7"/>
      <w:lvlJc w:val="left"/>
      <w:pPr>
        <w:tabs>
          <w:tab w:val="num" w:pos="0"/>
        </w:tabs>
        <w:ind w:left="0" w:hanging="0"/>
      </w:pPr>
      <w:rPr/>
    </w:lvl>
    <w:lvl w:ilvl="7">
      <w:start w:val="1"/>
      <w:numFmt w:val="decimal"/>
      <w:lvlText w:val="%1.%2.%3.%4.%5.%6.%7.%8"/>
      <w:lvlJc w:val="left"/>
      <w:pPr>
        <w:tabs>
          <w:tab w:val="num" w:pos="0"/>
        </w:tabs>
        <w:ind w:left="0" w:hanging="0"/>
      </w:pPr>
      <w:rPr/>
    </w:lvl>
    <w:lvl w:ilvl="8">
      <w:start w:val="1"/>
      <w:numFmt w:val="decimal"/>
      <w:lvlText w:val="%1.%2.%3.%4.%5.%6.%7.%8.%9"/>
      <w:lvlJc w:val="left"/>
      <w:pPr>
        <w:tabs>
          <w:tab w:val="num" w:pos="0"/>
        </w:tabs>
        <w:ind w:left="0" w:hanging="0"/>
      </w:pPr>
      <w:rPr/>
    </w:lvl>
  </w:abstractNum>
  <w:abstractNum w:abstractNumId="22">
    <w:lvl w:ilvl="0">
      <w:numFmt w:val="decimal"/>
      <w:lvlText w:val="ARTICLE %1."/>
      <w:lvlJc w:val="left"/>
      <w:pPr>
        <w:tabs>
          <w:tab w:val="num" w:pos="0"/>
        </w:tabs>
        <w:ind w:left="1779" w:hanging="360"/>
      </w:pPr>
      <w:rPr/>
    </w:lvl>
    <w:lvl w:ilvl="1">
      <w:start w:val="1"/>
      <w:numFmt w:val="decimal"/>
      <w:suff w:val="space"/>
      <w:lvlText w:val="Article %1.%2"/>
      <w:lvlJc w:val="left"/>
      <w:pPr>
        <w:tabs>
          <w:tab w:val="num" w:pos="0"/>
        </w:tabs>
        <w:ind w:left="6493" w:hanging="113"/>
      </w:pPr>
      <w:rPr/>
    </w:lvl>
    <w:lvl w:ilvl="2">
      <w:start w:val="1"/>
      <w:numFmt w:val="decimal"/>
      <w:lvlText w:val="Article %1.%2.%3"/>
      <w:lvlJc w:val="left"/>
      <w:pPr>
        <w:tabs>
          <w:tab w:val="num" w:pos="1730"/>
        </w:tabs>
        <w:ind w:left="1730" w:hanging="737"/>
      </w:pPr>
      <w:rPr/>
    </w:lvl>
    <w:lvl w:ilvl="3">
      <w:start w:val="1"/>
      <w:numFmt w:val="decimal"/>
      <w:lvlText w:val="%1.%2.%3.%4"/>
      <w:lvlJc w:val="left"/>
      <w:pPr>
        <w:tabs>
          <w:tab w:val="num" w:pos="1021"/>
        </w:tabs>
        <w:ind w:left="993" w:hanging="0"/>
      </w:pPr>
      <w:rPr>
        <w:b w:val="false"/>
        <w:bCs w:val="false"/>
        <w:i w:val="false"/>
        <w:iCs w:val="false"/>
        <w:caps w:val="false"/>
        <w:smallCaps w:val="false"/>
        <w:strike w:val="false"/>
        <w:dstrike w:val="false"/>
        <w:vanish w:val="false"/>
        <w:color w:val="00B050"/>
        <w:spacing w:val="0"/>
        <w:kern w:val="0"/>
        <w:position w:val="0"/>
        <w:sz w:val="20"/>
        <w:u w:val="none"/>
        <w:effect w:val="none"/>
        <w:vertAlign w:val="baseline"/>
        <w:em w:val="none"/>
      </w:rPr>
    </w:lvl>
    <w:lvl w:ilvl="4">
      <w:start w:val="1"/>
      <w:numFmt w:val="decimal"/>
      <w:lvlText w:val="%1.%2.%3.%4.%5"/>
      <w:lvlJc w:val="left"/>
      <w:pPr>
        <w:tabs>
          <w:tab w:val="num" w:pos="0"/>
        </w:tabs>
        <w:ind w:left="0" w:hanging="0"/>
      </w:pPr>
      <w:rPr>
        <w:b w:val="false"/>
        <w:bCs w:val="false"/>
        <w:i w:val="false"/>
        <w:iCs w:val="false"/>
        <w:caps w:val="false"/>
        <w:smallCaps w:val="false"/>
        <w:strike w:val="false"/>
        <w:dstrike w:val="false"/>
        <w:vanish w:val="false"/>
        <w:color w:val="000000"/>
        <w:spacing w:val="0"/>
        <w:kern w:val="0"/>
        <w:position w:val="0"/>
        <w:sz w:val="20"/>
        <w:u w:val="none"/>
        <w:effect w:val="none"/>
        <w:vertAlign w:val="baseline"/>
        <w:em w:val="none"/>
      </w:rPr>
    </w:lvl>
    <w:lvl w:ilvl="5">
      <w:start w:val="1"/>
      <w:numFmt w:val="decimal"/>
      <w:lvlText w:val="%1.%2.%3.%4.%5.%6"/>
      <w:lvlJc w:val="left"/>
      <w:pPr>
        <w:tabs>
          <w:tab w:val="num" w:pos="0"/>
        </w:tabs>
        <w:ind w:left="0" w:hanging="0"/>
      </w:pPr>
      <w:rPr/>
    </w:lvl>
    <w:lvl w:ilvl="6">
      <w:start w:val="1"/>
      <w:numFmt w:val="decimal"/>
      <w:lvlText w:val="%1.%2.%3.%4.%5.%6.%7"/>
      <w:lvlJc w:val="left"/>
      <w:pPr>
        <w:tabs>
          <w:tab w:val="num" w:pos="0"/>
        </w:tabs>
        <w:ind w:left="0" w:hanging="0"/>
      </w:pPr>
      <w:rPr/>
    </w:lvl>
    <w:lvl w:ilvl="7">
      <w:start w:val="1"/>
      <w:numFmt w:val="decimal"/>
      <w:lvlText w:val="%1.%2.%3.%4.%5.%6.%7.%8"/>
      <w:lvlJc w:val="left"/>
      <w:pPr>
        <w:tabs>
          <w:tab w:val="num" w:pos="0"/>
        </w:tabs>
        <w:ind w:left="0" w:hanging="0"/>
      </w:pPr>
      <w:rPr/>
    </w:lvl>
    <w:lvl w:ilvl="8">
      <w:start w:val="1"/>
      <w:numFmt w:val="decimal"/>
      <w:lvlText w:val="%1.%2.%3.%4.%5.%6.%7.%8.%9"/>
      <w:lvlJc w:val="left"/>
      <w:pPr>
        <w:tabs>
          <w:tab w:val="num" w:pos="0"/>
        </w:tabs>
        <w:ind w:left="0" w:hanging="0"/>
      </w:pPr>
      <w:rPr/>
    </w:lvl>
  </w:abstractNum>
  <w:abstractNum w:abstractNumId="23">
    <w:lvl w:ilvl="0">
      <w:numFmt w:val="decimal"/>
      <w:lvlText w:val="ARTICLE %1."/>
      <w:lvlJc w:val="left"/>
      <w:pPr>
        <w:tabs>
          <w:tab w:val="num" w:pos="0"/>
        </w:tabs>
        <w:ind w:left="1779" w:hanging="360"/>
      </w:pPr>
      <w:rPr/>
    </w:lvl>
    <w:lvl w:ilvl="1">
      <w:start w:val="1"/>
      <w:numFmt w:val="decimal"/>
      <w:suff w:val="space"/>
      <w:lvlText w:val="Article %1.%2"/>
      <w:lvlJc w:val="left"/>
      <w:pPr>
        <w:tabs>
          <w:tab w:val="num" w:pos="0"/>
        </w:tabs>
        <w:ind w:left="6493" w:hanging="113"/>
      </w:pPr>
      <w:rPr/>
    </w:lvl>
    <w:lvl w:ilvl="2">
      <w:start w:val="1"/>
      <w:numFmt w:val="decimal"/>
      <w:lvlText w:val="Article %1.%2.%3"/>
      <w:lvlJc w:val="left"/>
      <w:pPr>
        <w:tabs>
          <w:tab w:val="num" w:pos="1730"/>
        </w:tabs>
        <w:ind w:left="1730" w:hanging="737"/>
      </w:pPr>
      <w:rPr/>
    </w:lvl>
    <w:lvl w:ilvl="3">
      <w:start w:val="1"/>
      <w:numFmt w:val="decimal"/>
      <w:lvlText w:val="%1.%2.%3.%4"/>
      <w:lvlJc w:val="left"/>
      <w:pPr>
        <w:tabs>
          <w:tab w:val="num" w:pos="1021"/>
        </w:tabs>
        <w:ind w:left="993" w:hanging="0"/>
      </w:pPr>
      <w:rPr>
        <w:b w:val="false"/>
        <w:bCs w:val="false"/>
        <w:i w:val="false"/>
        <w:iCs w:val="false"/>
        <w:caps w:val="false"/>
        <w:smallCaps w:val="false"/>
        <w:strike w:val="false"/>
        <w:dstrike w:val="false"/>
        <w:vanish w:val="false"/>
        <w:color w:val="00B050"/>
        <w:spacing w:val="0"/>
        <w:kern w:val="0"/>
        <w:position w:val="0"/>
        <w:sz w:val="20"/>
        <w:u w:val="none"/>
        <w:effect w:val="none"/>
        <w:vertAlign w:val="baseline"/>
        <w:em w:val="none"/>
      </w:rPr>
    </w:lvl>
    <w:lvl w:ilvl="4">
      <w:start w:val="1"/>
      <w:numFmt w:val="decimal"/>
      <w:lvlText w:val="%1.%2.%3.%4.%5"/>
      <w:lvlJc w:val="left"/>
      <w:pPr>
        <w:tabs>
          <w:tab w:val="num" w:pos="0"/>
        </w:tabs>
        <w:ind w:left="0" w:hanging="0"/>
      </w:pPr>
      <w:rPr>
        <w:b w:val="false"/>
        <w:bCs w:val="false"/>
        <w:i w:val="false"/>
        <w:iCs w:val="false"/>
        <w:caps w:val="false"/>
        <w:smallCaps w:val="false"/>
        <w:strike w:val="false"/>
        <w:dstrike w:val="false"/>
        <w:vanish w:val="false"/>
        <w:color w:val="000000"/>
        <w:spacing w:val="0"/>
        <w:kern w:val="0"/>
        <w:position w:val="0"/>
        <w:sz w:val="20"/>
        <w:u w:val="none"/>
        <w:effect w:val="none"/>
        <w:vertAlign w:val="baseline"/>
        <w:em w:val="none"/>
      </w:rPr>
    </w:lvl>
    <w:lvl w:ilvl="5">
      <w:start w:val="1"/>
      <w:numFmt w:val="decimal"/>
      <w:lvlText w:val="%1.%2.%3.%4.%5.%6"/>
      <w:lvlJc w:val="left"/>
      <w:pPr>
        <w:tabs>
          <w:tab w:val="num" w:pos="0"/>
        </w:tabs>
        <w:ind w:left="0" w:hanging="0"/>
      </w:pPr>
      <w:rPr/>
    </w:lvl>
    <w:lvl w:ilvl="6">
      <w:start w:val="1"/>
      <w:numFmt w:val="decimal"/>
      <w:lvlText w:val="%1.%2.%3.%4.%5.%6.%7"/>
      <w:lvlJc w:val="left"/>
      <w:pPr>
        <w:tabs>
          <w:tab w:val="num" w:pos="0"/>
        </w:tabs>
        <w:ind w:left="0" w:hanging="0"/>
      </w:pPr>
      <w:rPr/>
    </w:lvl>
    <w:lvl w:ilvl="7">
      <w:start w:val="1"/>
      <w:numFmt w:val="decimal"/>
      <w:lvlText w:val="%1.%2.%3.%4.%5.%6.%7.%8"/>
      <w:lvlJc w:val="left"/>
      <w:pPr>
        <w:tabs>
          <w:tab w:val="num" w:pos="0"/>
        </w:tabs>
        <w:ind w:left="0" w:hanging="0"/>
      </w:pPr>
      <w:rPr/>
    </w:lvl>
    <w:lvl w:ilvl="8">
      <w:start w:val="1"/>
      <w:numFmt w:val="decimal"/>
      <w:lvlText w:val="%1.%2.%3.%4.%5.%6.%7.%8.%9"/>
      <w:lvlJc w:val="left"/>
      <w:pPr>
        <w:tabs>
          <w:tab w:val="num" w:pos="0"/>
        </w:tabs>
        <w:ind w:left="0" w:hanging="0"/>
      </w:pPr>
      <w:rPr/>
    </w:lvl>
  </w:abstractNum>
  <w:abstractNum w:abstractNumId="24">
    <w:lvl w:ilvl="0">
      <w:numFmt w:val="decimal"/>
      <w:lvlText w:val="ARTICLE %1."/>
      <w:lvlJc w:val="left"/>
      <w:pPr>
        <w:tabs>
          <w:tab w:val="num" w:pos="0"/>
        </w:tabs>
        <w:ind w:left="1779" w:hanging="360"/>
      </w:pPr>
      <w:rPr/>
    </w:lvl>
    <w:lvl w:ilvl="1">
      <w:start w:val="1"/>
      <w:numFmt w:val="decimal"/>
      <w:suff w:val="space"/>
      <w:lvlText w:val="Article %1.%2"/>
      <w:lvlJc w:val="left"/>
      <w:pPr>
        <w:tabs>
          <w:tab w:val="num" w:pos="0"/>
        </w:tabs>
        <w:ind w:left="6493" w:hanging="113"/>
      </w:pPr>
      <w:rPr/>
    </w:lvl>
    <w:lvl w:ilvl="2">
      <w:start w:val="1"/>
      <w:numFmt w:val="decimal"/>
      <w:lvlText w:val="Article %1.%2.%3"/>
      <w:lvlJc w:val="left"/>
      <w:pPr>
        <w:tabs>
          <w:tab w:val="num" w:pos="1730"/>
        </w:tabs>
        <w:ind w:left="1730" w:hanging="737"/>
      </w:pPr>
      <w:rPr/>
    </w:lvl>
    <w:lvl w:ilvl="3">
      <w:start w:val="1"/>
      <w:numFmt w:val="decimal"/>
      <w:lvlText w:val="%1.%2.%3.%4"/>
      <w:lvlJc w:val="left"/>
      <w:pPr>
        <w:tabs>
          <w:tab w:val="num" w:pos="1021"/>
        </w:tabs>
        <w:ind w:left="993" w:hanging="0"/>
      </w:pPr>
      <w:rPr>
        <w:b w:val="false"/>
        <w:bCs w:val="false"/>
        <w:i w:val="false"/>
        <w:iCs w:val="false"/>
        <w:caps w:val="false"/>
        <w:smallCaps w:val="false"/>
        <w:strike w:val="false"/>
        <w:dstrike w:val="false"/>
        <w:vanish w:val="false"/>
        <w:color w:val="00B050"/>
        <w:spacing w:val="0"/>
        <w:kern w:val="0"/>
        <w:position w:val="0"/>
        <w:sz w:val="20"/>
        <w:u w:val="none"/>
        <w:effect w:val="none"/>
        <w:vertAlign w:val="baseline"/>
        <w:em w:val="none"/>
      </w:rPr>
    </w:lvl>
    <w:lvl w:ilvl="4">
      <w:start w:val="1"/>
      <w:numFmt w:val="decimal"/>
      <w:lvlText w:val="%1.%2.%3.%4.%5"/>
      <w:lvlJc w:val="left"/>
      <w:pPr>
        <w:tabs>
          <w:tab w:val="num" w:pos="0"/>
        </w:tabs>
        <w:ind w:left="0" w:hanging="0"/>
      </w:pPr>
      <w:rPr>
        <w:b w:val="false"/>
        <w:bCs w:val="false"/>
        <w:i w:val="false"/>
        <w:iCs w:val="false"/>
        <w:caps w:val="false"/>
        <w:smallCaps w:val="false"/>
        <w:strike w:val="false"/>
        <w:dstrike w:val="false"/>
        <w:vanish w:val="false"/>
        <w:color w:val="000000"/>
        <w:spacing w:val="0"/>
        <w:kern w:val="0"/>
        <w:position w:val="0"/>
        <w:sz w:val="20"/>
        <w:u w:val="none"/>
        <w:effect w:val="none"/>
        <w:vertAlign w:val="baseline"/>
        <w:em w:val="none"/>
      </w:rPr>
    </w:lvl>
    <w:lvl w:ilvl="5">
      <w:start w:val="1"/>
      <w:numFmt w:val="decimal"/>
      <w:lvlText w:val="%1.%2.%3.%4.%5.%6"/>
      <w:lvlJc w:val="left"/>
      <w:pPr>
        <w:tabs>
          <w:tab w:val="num" w:pos="0"/>
        </w:tabs>
        <w:ind w:left="0" w:hanging="0"/>
      </w:pPr>
      <w:rPr/>
    </w:lvl>
    <w:lvl w:ilvl="6">
      <w:start w:val="1"/>
      <w:numFmt w:val="decimal"/>
      <w:lvlText w:val="%1.%2.%3.%4.%5.%6.%7"/>
      <w:lvlJc w:val="left"/>
      <w:pPr>
        <w:tabs>
          <w:tab w:val="num" w:pos="0"/>
        </w:tabs>
        <w:ind w:left="0" w:hanging="0"/>
      </w:pPr>
      <w:rPr/>
    </w:lvl>
    <w:lvl w:ilvl="7">
      <w:start w:val="1"/>
      <w:numFmt w:val="decimal"/>
      <w:lvlText w:val="%1.%2.%3.%4.%5.%6.%7.%8"/>
      <w:lvlJc w:val="left"/>
      <w:pPr>
        <w:tabs>
          <w:tab w:val="num" w:pos="0"/>
        </w:tabs>
        <w:ind w:left="0" w:hanging="0"/>
      </w:pPr>
      <w:rPr/>
    </w:lvl>
    <w:lvl w:ilvl="8">
      <w:start w:val="1"/>
      <w:numFmt w:val="decimal"/>
      <w:lvlText w:val="%1.%2.%3.%4.%5.%6.%7.%8.%9"/>
      <w:lvlJc w:val="left"/>
      <w:pPr>
        <w:tabs>
          <w:tab w:val="num" w:pos="0"/>
        </w:tabs>
        <w:ind w:left="0" w:hanging="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19"/>
    <w:lvlOverride w:ilvl="0">
      <w:startOverride w:val="100"/>
    </w:lvlOverride>
  </w:num>
  <w:num w:numId="26">
    <w:abstractNumId w:val="19"/>
    <w:lvlOverride w:ilvl="0">
      <w:startOverride w:val="200"/>
    </w:lvlOverride>
  </w:num>
  <w:num w:numId="27">
    <w:abstractNumId w:val="19"/>
    <w:lvlOverride w:ilvl="0">
      <w:startOverride w:val="300"/>
    </w:lvlOverride>
  </w:num>
  <w:num w:numId="28">
    <w:abstractNumId w:val="19"/>
    <w:lvlOverride w:ilvl="0">
      <w:startOverride w:val="400"/>
    </w:lvlOverride>
  </w:num>
  <w:num w:numId="29">
    <w:abstractNumId w:val="19"/>
    <w:lvlOverride w:ilvl="0">
      <w:startOverride w:val="500"/>
    </w:lvlOverride>
  </w:num>
  <w:num w:numId="30">
    <w:abstractNumId w:val="19"/>
    <w:lvlOverride w:ilvl="0">
      <w:startOverride w:val="600"/>
    </w:lvlOverride>
  </w:num>
</w:numbering>
</file>

<file path=word/settings.xml><?xml version="1.0" encoding="utf-8"?>
<w:settings xmlns:w="http://schemas.openxmlformats.org/wordprocessingml/2006/main">
  <w:zoom w:percent="110"/>
  <w:defaultTabStop w:val="708"/>
  <w:autoHyphenation w:val="true"/>
  <w:hyphenationZone w:val="0"/>
  <w:compat>
    <w:compatSetting w:name="compatibilityMode" w:uri="http://schemas.microsoft.com/office/word" w:val="12"/>
    <w:compatSetting w:name="useWord2013TrackBottomHyphenation" w:uri="http://schemas.microsoft.com/office/word" w:val="1"/>
    <w:compatSetting w:name="allowHyphenationAtTrackBottom" w:uri="http://schemas.microsoft.com/office/word" w:val="1"/>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fr-FR" w:eastAsia="en-US" w:bidi="ar-SA"/>
      </w:rPr>
    </w:rPrDefault>
    <w:pPrDefault>
      <w:pPr>
        <w:suppressAutoHyphens w:val="true"/>
      </w:pPr>
    </w:pPrDefault>
  </w:docDefaults>
  <w:style w:type="paragraph" w:styleId="Normal">
    <w:name w:val="Normal"/>
    <w:qFormat/>
    <w:pPr>
      <w:widowControl/>
      <w:suppressAutoHyphens w:val="true"/>
      <w:kinsoku w:val="true"/>
      <w:overflowPunct w:val="true"/>
      <w:autoSpaceDE w:val="true"/>
      <w:bidi w:val="0"/>
      <w:spacing w:before="0" w:after="120"/>
      <w:jc w:val="both"/>
    </w:pPr>
    <w:rPr>
      <w:rFonts w:ascii="Arial" w:hAnsi="Arial" w:eastAsia="Times New Roman" w:cs="Times New Roman"/>
      <w:color w:val="auto"/>
      <w:kern w:val="0"/>
      <w:sz w:val="20"/>
      <w:szCs w:val="20"/>
      <w:lang w:val="fr-FR" w:eastAsia="fr-FR" w:bidi="ar-SA"/>
    </w:rPr>
  </w:style>
  <w:style w:type="paragraph" w:styleId="Heading1">
    <w:name w:val="heading 1"/>
    <w:basedOn w:val="Normal"/>
    <w:next w:val="Normal"/>
    <w:link w:val="Titre1Car"/>
    <w:autoRedefine/>
    <w:qFormat/>
    <w:pPr>
      <w:keepNext w:val="true"/>
      <w:pageBreakBefore/>
      <w:numPr>
        <w:ilvl w:val="0"/>
        <w:numId w:val="1"/>
      </w:numPr>
      <w:pBdr>
        <w:bottom w:val="single" w:sz="12" w:space="1" w:color="339966"/>
      </w:pBdr>
      <w:spacing w:before="480" w:after="480"/>
      <w:jc w:val="left"/>
      <w:outlineLvl w:val="0"/>
    </w:pPr>
    <w:rPr>
      <w:b/>
      <w:caps/>
      <w:color w:val="339966"/>
      <w:sz w:val="28"/>
    </w:rPr>
  </w:style>
  <w:style w:type="paragraph" w:styleId="Heading2">
    <w:name w:val="heading 2"/>
    <w:basedOn w:val="Normal"/>
    <w:next w:val="Normal"/>
    <w:link w:val="Titre2Car"/>
    <w:autoRedefine/>
    <w:qFormat/>
    <w:pPr>
      <w:keepNext w:val="true"/>
      <w:numPr>
        <w:ilvl w:val="1"/>
        <w:numId w:val="1"/>
      </w:numPr>
      <w:pBdr>
        <w:bottom w:val="single" w:sz="6" w:space="0" w:color="339966"/>
      </w:pBdr>
      <w:spacing w:before="360" w:after="120"/>
      <w:outlineLvl w:val="1"/>
    </w:pPr>
    <w:rPr>
      <w:rFonts w:ascii="Arial Gras" w:hAnsi="Arial Gras" w:cs="Arial"/>
      <w:b/>
      <w:caps/>
      <w:color w:val="339966"/>
      <w:sz w:val="28"/>
      <w:szCs w:val="28"/>
      <w:lang w:eastAsia="en-US"/>
    </w:rPr>
  </w:style>
  <w:style w:type="paragraph" w:styleId="Heading3">
    <w:name w:val="heading 3"/>
    <w:basedOn w:val="Normal"/>
    <w:next w:val="Normal"/>
    <w:link w:val="Titre3Car"/>
    <w:autoRedefine/>
    <w:qFormat/>
    <w:pPr>
      <w:keepNext w:val="true"/>
      <w:numPr>
        <w:ilvl w:val="2"/>
        <w:numId w:val="1"/>
      </w:numPr>
      <w:spacing w:before="240" w:after="120"/>
      <w:jc w:val="left"/>
      <w:outlineLvl w:val="2"/>
    </w:pPr>
    <w:rPr>
      <w:rFonts w:eastAsia="SimSun"/>
      <w:color w:val="339966"/>
      <w:sz w:val="24"/>
      <w:u w:val="single"/>
      <w:lang w:eastAsia="en-US"/>
    </w:rPr>
  </w:style>
  <w:style w:type="paragraph" w:styleId="Heading4">
    <w:name w:val="heading 4"/>
    <w:basedOn w:val="Heading3"/>
    <w:next w:val="Normal"/>
    <w:link w:val="Titre4Car"/>
    <w:qFormat/>
    <w:pPr>
      <w:numPr>
        <w:ilvl w:val="3"/>
        <w:numId w:val="1"/>
      </w:numPr>
      <w:spacing w:before="240" w:after="60"/>
      <w:outlineLvl w:val="3"/>
    </w:pPr>
    <w:rPr>
      <w:color w:val="00B050"/>
      <w:sz w:val="22"/>
    </w:rPr>
  </w:style>
  <w:style w:type="paragraph" w:styleId="Heading5">
    <w:name w:val="heading 5"/>
    <w:basedOn w:val="Normal"/>
    <w:next w:val="Normal"/>
    <w:link w:val="Titre5Car"/>
    <w:qFormat/>
    <w:pPr>
      <w:keepNext w:val="true"/>
      <w:numPr>
        <w:ilvl w:val="4"/>
        <w:numId w:val="1"/>
      </w:numPr>
      <w:spacing w:before="0" w:after="60"/>
      <w:outlineLvl w:val="4"/>
    </w:pPr>
    <w:rPr>
      <w:bCs/>
      <w:i/>
      <w:color w:val="00B050"/>
    </w:rPr>
  </w:style>
  <w:style w:type="paragraph" w:styleId="Heading6">
    <w:name w:val="heading 6"/>
    <w:basedOn w:val="Normal"/>
    <w:next w:val="Normal"/>
    <w:link w:val="Titre6Car"/>
    <w:qFormat/>
    <w:pPr>
      <w:numPr>
        <w:ilvl w:val="5"/>
        <w:numId w:val="1"/>
      </w:numPr>
      <w:spacing w:before="240" w:after="60"/>
      <w:outlineLvl w:val="5"/>
    </w:pPr>
    <w:rPr>
      <w:b/>
      <w:i/>
    </w:rPr>
  </w:style>
  <w:style w:type="paragraph" w:styleId="Heading7">
    <w:name w:val="heading 7"/>
    <w:basedOn w:val="Normal"/>
    <w:next w:val="Normal"/>
    <w:link w:val="Titre7Car"/>
    <w:qFormat/>
    <w:pPr>
      <w:numPr>
        <w:ilvl w:val="6"/>
        <w:numId w:val="1"/>
      </w:numPr>
      <w:spacing w:before="240" w:after="60"/>
      <w:outlineLvl w:val="6"/>
    </w:pPr>
    <w:rPr/>
  </w:style>
  <w:style w:type="paragraph" w:styleId="Heading8">
    <w:name w:val="heading 8"/>
    <w:basedOn w:val="Normal"/>
    <w:next w:val="Normal"/>
    <w:link w:val="Titre8Car"/>
    <w:qFormat/>
    <w:pPr>
      <w:numPr>
        <w:ilvl w:val="7"/>
        <w:numId w:val="1"/>
      </w:numPr>
      <w:spacing w:before="240" w:after="60"/>
      <w:outlineLvl w:val="7"/>
    </w:pPr>
    <w:rPr>
      <w:i/>
    </w:rPr>
  </w:style>
  <w:style w:type="paragraph" w:styleId="Heading9">
    <w:name w:val="heading 9"/>
    <w:basedOn w:val="Normal"/>
    <w:next w:val="Normal"/>
    <w:link w:val="Titre9Car"/>
    <w:qFormat/>
    <w:pPr>
      <w:numPr>
        <w:ilvl w:val="8"/>
        <w:numId w:val="1"/>
      </w:numPr>
      <w:spacing w:before="240" w:after="60"/>
      <w:outlineLvl w:val="8"/>
    </w:pPr>
    <w:rPr>
      <w:i/>
      <w:sz w:val="18"/>
    </w:rPr>
  </w:style>
  <w:style w:type="character" w:styleId="DefaultParagraphFont">
    <w:name w:val="Default Paragraph Font"/>
    <w:qFormat/>
    <w:rPr/>
  </w:style>
  <w:style w:type="character" w:styleId="Titre1Car">
    <w:name w:val="Titre 1 Car"/>
    <w:basedOn w:val="DefaultParagraphFont"/>
    <w:qFormat/>
    <w:rPr>
      <w:rFonts w:ascii="Arial" w:hAnsi="Arial"/>
      <w:b/>
      <w:caps/>
      <w:color w:val="339966"/>
      <w:sz w:val="28"/>
      <w:lang w:eastAsia="fr-FR"/>
    </w:rPr>
  </w:style>
  <w:style w:type="character" w:styleId="Titre2Car">
    <w:name w:val="Titre 2 Car"/>
    <w:qFormat/>
    <w:rPr>
      <w:rFonts w:ascii="Arial Gras" w:hAnsi="Arial Gras" w:cs="Arial"/>
      <w:b/>
      <w:caps/>
      <w:color w:val="339966"/>
      <w:sz w:val="28"/>
      <w:szCs w:val="28"/>
    </w:rPr>
  </w:style>
  <w:style w:type="character" w:styleId="Titre3Car">
    <w:name w:val="Titre 3 Car"/>
    <w:basedOn w:val="DefaultParagraphFont"/>
    <w:qFormat/>
    <w:rPr>
      <w:rFonts w:ascii="Arial" w:hAnsi="Arial" w:eastAsia="SimSun"/>
      <w:color w:val="339966"/>
      <w:sz w:val="24"/>
      <w:u w:val="single"/>
    </w:rPr>
  </w:style>
  <w:style w:type="character" w:styleId="Titre4Car">
    <w:name w:val="Titre 4 Car"/>
    <w:basedOn w:val="DefaultParagraphFont"/>
    <w:qFormat/>
    <w:rPr>
      <w:rFonts w:ascii="Arial" w:hAnsi="Arial" w:eastAsia="SimSun"/>
      <w:color w:val="00B050"/>
      <w:sz w:val="22"/>
      <w:u w:val="single"/>
    </w:rPr>
  </w:style>
  <w:style w:type="character" w:styleId="Titre5Car">
    <w:name w:val="Titre 5 Car"/>
    <w:basedOn w:val="DefaultParagraphFont"/>
    <w:qFormat/>
    <w:rPr>
      <w:rFonts w:ascii="Arial" w:hAnsi="Arial"/>
      <w:bCs/>
      <w:i/>
      <w:color w:val="00B050"/>
      <w:lang w:eastAsia="fr-FR"/>
    </w:rPr>
  </w:style>
  <w:style w:type="character" w:styleId="Titre6Car">
    <w:name w:val="Titre 6 Car"/>
    <w:basedOn w:val="DefaultParagraphFont"/>
    <w:qFormat/>
    <w:rPr>
      <w:rFonts w:ascii="Arial" w:hAnsi="Arial"/>
      <w:b/>
      <w:i/>
      <w:lang w:eastAsia="fr-FR"/>
    </w:rPr>
  </w:style>
  <w:style w:type="character" w:styleId="Titre7Car">
    <w:name w:val="Titre 7 Car"/>
    <w:basedOn w:val="DefaultParagraphFont"/>
    <w:qFormat/>
    <w:rPr>
      <w:rFonts w:ascii="Arial" w:hAnsi="Arial"/>
      <w:lang w:eastAsia="fr-FR"/>
    </w:rPr>
  </w:style>
  <w:style w:type="character" w:styleId="Titre8Car">
    <w:name w:val="Titre 8 Car"/>
    <w:basedOn w:val="DefaultParagraphFont"/>
    <w:qFormat/>
    <w:rPr>
      <w:rFonts w:ascii="Arial" w:hAnsi="Arial"/>
      <w:i/>
      <w:lang w:eastAsia="fr-FR"/>
    </w:rPr>
  </w:style>
  <w:style w:type="character" w:styleId="Titre9Car">
    <w:name w:val="Titre 9 Car"/>
    <w:basedOn w:val="DefaultParagraphFont"/>
    <w:qFormat/>
    <w:rPr>
      <w:rFonts w:ascii="Arial" w:hAnsi="Arial"/>
      <w:i/>
      <w:sz w:val="18"/>
      <w:lang w:eastAsia="fr-FR"/>
    </w:rPr>
  </w:style>
  <w:style w:type="character" w:styleId="TitreCar">
    <w:name w:val="Titre Car"/>
    <w:qFormat/>
    <w:rPr>
      <w:rFonts w:ascii="Cambria" w:hAnsi="Cambria"/>
      <w:b/>
      <w:bCs/>
      <w:kern w:val="2"/>
      <w:sz w:val="32"/>
      <w:szCs w:val="32"/>
    </w:rPr>
  </w:style>
  <w:style w:type="character" w:styleId="Emphasis">
    <w:name w:val="Emphasis"/>
    <w:qFormat/>
    <w:rPr>
      <w:i/>
      <w:iCs/>
    </w:rPr>
  </w:style>
  <w:style w:type="character" w:styleId="ParagraphedelisteCar">
    <w:name w:val="Paragraphe de liste Car"/>
    <w:basedOn w:val="DefaultParagraphFont"/>
    <w:link w:val="ListParagraph"/>
    <w:qFormat/>
    <w:rPr>
      <w:rFonts w:ascii="Arial" w:hAnsi="Arial" w:eastAsia="SimSun"/>
      <w:bCs/>
      <w:szCs w:val="24"/>
      <w:lang w:eastAsia="zh-CN"/>
    </w:rPr>
  </w:style>
  <w:style w:type="character" w:styleId="TextedebullesCar">
    <w:name w:val="Texte de bulles Car"/>
    <w:basedOn w:val="DefaultParagraphFont"/>
    <w:link w:val="BalloonText"/>
    <w:qFormat/>
    <w:rPr>
      <w:rFonts w:ascii="Tahoma" w:hAnsi="Tahoma" w:cs="Tahoma"/>
      <w:bCs/>
      <w:sz w:val="16"/>
      <w:szCs w:val="16"/>
      <w:lang w:eastAsia="fr-FR"/>
    </w:rPr>
  </w:style>
  <w:style w:type="character" w:styleId="Puce1-8ptsCar">
    <w:name w:val="Puce1-8 pts Car"/>
    <w:link w:val="Puce1-8pts"/>
    <w:qFormat/>
    <w:rPr>
      <w:rFonts w:ascii="Arial" w:hAnsi="Arial" w:cs="Arial"/>
      <w:bCs/>
    </w:rPr>
  </w:style>
  <w:style w:type="character" w:styleId="CommentReference">
    <w:name w:val="annotation reference"/>
    <w:basedOn w:val="DefaultParagraphFont"/>
    <w:qFormat/>
    <w:rPr>
      <w:sz w:val="16"/>
      <w:szCs w:val="16"/>
    </w:rPr>
  </w:style>
  <w:style w:type="character" w:styleId="CommentaireCar">
    <w:name w:val="Commentaire Car"/>
    <w:basedOn w:val="DefaultParagraphFont"/>
    <w:link w:val="CommentText"/>
    <w:qFormat/>
    <w:rPr>
      <w:rFonts w:ascii="Arial" w:hAnsi="Arial" w:eastAsia="SimSun"/>
      <w:lang w:eastAsia="zh-CN"/>
    </w:rPr>
  </w:style>
  <w:style w:type="character" w:styleId="ListepucesColleCarCar">
    <w:name w:val="Liste à pucesCollée Car Car"/>
    <w:link w:val="ListepucesColle"/>
    <w:qFormat/>
    <w:rPr>
      <w:rFonts w:ascii="Arial" w:hAnsi="Arial"/>
    </w:rPr>
  </w:style>
  <w:style w:type="character" w:styleId="En-tteCar">
    <w:name w:val="En-tête Car"/>
    <w:basedOn w:val="DefaultParagraphFont"/>
    <w:qFormat/>
    <w:rPr>
      <w:rFonts w:ascii="Arial" w:hAnsi="Arial"/>
      <w:bCs/>
      <w:sz w:val="22"/>
      <w:lang w:eastAsia="fr-FR"/>
    </w:rPr>
  </w:style>
  <w:style w:type="character" w:styleId="Hyperlink">
    <w:name w:val="Hyperlink"/>
    <w:basedOn w:val="DefaultParagraphFont"/>
    <w:rPr>
      <w:rFonts w:cs="Times New Roman"/>
      <w:color w:val="0000FF"/>
      <w:sz w:val="18"/>
      <w:szCs w:val="18"/>
      <w:u w:val="single"/>
    </w:rPr>
  </w:style>
  <w:style w:type="character" w:styleId="PieddepageCar">
    <w:name w:val="Pied de page Car"/>
    <w:basedOn w:val="DefaultParagraphFont"/>
    <w:qFormat/>
    <w:rPr>
      <w:rFonts w:ascii="Arial" w:hAnsi="Arial" w:eastAsia="SimSun"/>
      <w:szCs w:val="24"/>
      <w:lang w:eastAsia="zh-CN"/>
    </w:rPr>
  </w:style>
  <w:style w:type="character" w:styleId="CorpsdetexteCar">
    <w:name w:val="Corps de texte Car"/>
    <w:basedOn w:val="DefaultParagraphFont"/>
    <w:qFormat/>
    <w:rPr>
      <w:rFonts w:ascii="Arial" w:hAnsi="Arial" w:cs="Arial"/>
      <w:sz w:val="22"/>
      <w:szCs w:val="22"/>
      <w:lang w:eastAsia="fr-FR"/>
    </w:rPr>
  </w:style>
  <w:style w:type="character" w:styleId="ObjetducommentaireCar">
    <w:name w:val="Objet du commentaire Car"/>
    <w:basedOn w:val="CommentaireCar"/>
    <w:link w:val="annotationsubject"/>
    <w:qFormat/>
    <w:rPr>
      <w:rFonts w:ascii="Arial" w:hAnsi="Arial" w:eastAsia="SimSun"/>
      <w:b/>
      <w:bCs/>
      <w:lang w:eastAsia="fr-FR"/>
    </w:rPr>
  </w:style>
  <w:style w:type="character" w:styleId="Strong">
    <w:name w:val="Strong"/>
    <w:basedOn w:val="DefaultParagraphFont"/>
    <w:qFormat/>
    <w:rPr>
      <w:b/>
      <w:bCs/>
    </w:rPr>
  </w:style>
  <w:style w:type="character" w:styleId="PageNumber">
    <w:name w:val="page number"/>
    <w:basedOn w:val="DefaultParagraphFont"/>
    <w:qFormat/>
    <w:rPr/>
  </w:style>
  <w:style w:type="character" w:styleId="Retraitcorpsdetexte3Car">
    <w:name w:val="Retrait corps de texte 3 Car"/>
    <w:basedOn w:val="DefaultParagraphFont"/>
    <w:link w:val="BodyTextIndent3"/>
    <w:qFormat/>
    <w:rPr>
      <w:rFonts w:ascii="Arial" w:hAnsi="Arial"/>
      <w:sz w:val="16"/>
      <w:szCs w:val="16"/>
      <w:lang w:eastAsia="fr-FR"/>
    </w:rPr>
  </w:style>
  <w:style w:type="character" w:styleId="FollowedHyperlink">
    <w:name w:val="FollowedHyperlink"/>
    <w:basedOn w:val="DefaultParagraphFont"/>
    <w:rPr>
      <w:color w:val="800080"/>
      <w:u w:val="single"/>
    </w:rPr>
  </w:style>
  <w:style w:type="character" w:styleId="RetraitcorpsdetexteCar">
    <w:name w:val="Retrait corps de texte Car"/>
    <w:basedOn w:val="DefaultParagraphFont"/>
    <w:qFormat/>
    <w:rPr>
      <w:rFonts w:ascii="Arial" w:hAnsi="Arial"/>
      <w:lang w:eastAsia="fr-FR"/>
    </w:rPr>
  </w:style>
  <w:style w:type="character" w:styleId="StylenormalCar">
    <w:name w:val="Style normal Car"/>
    <w:link w:val="Stylenormal"/>
    <w:qFormat/>
    <w:rPr>
      <w:rFonts w:ascii="Calibri" w:hAnsi="Calibri"/>
      <w:sz w:val="22"/>
      <w:szCs w:val="24"/>
    </w:rPr>
  </w:style>
  <w:style w:type="character" w:styleId="Mentionnonrsolue1">
    <w:name w:val="Mention non résolue1"/>
    <w:basedOn w:val="DefaultParagraphFont"/>
    <w:qFormat/>
    <w:rPr>
      <w:color w:val="808080"/>
      <w:shd w:fill="E6E6E6" w:val="clear"/>
    </w:rPr>
  </w:style>
  <w:style w:type="character" w:styleId="Mentionnonrsolue2">
    <w:name w:val="Mention non résolue2"/>
    <w:basedOn w:val="DefaultParagraphFont"/>
    <w:qFormat/>
    <w:rPr>
      <w:color w:val="808080"/>
      <w:shd w:fill="E6E6E6" w:val="clear"/>
    </w:rPr>
  </w:style>
  <w:style w:type="character" w:styleId="UnresolvedMention">
    <w:name w:val="Unresolved Mention"/>
    <w:basedOn w:val="DefaultParagraphFont"/>
    <w:qFormat/>
    <w:rPr>
      <w:color w:val="605E5C"/>
      <w:shd w:fill="E1DFDD" w:val="clear"/>
    </w:rPr>
  </w:style>
  <w:style w:type="character" w:styleId="Q-TexteCar">
    <w:name w:val="Q-Texte Car"/>
    <w:basedOn w:val="DefaultParagraphFont"/>
    <w:link w:val="Q-Texte"/>
    <w:qFormat/>
    <w:rPr>
      <w:rFonts w:ascii="Arial" w:hAnsi="Arial"/>
      <w:lang w:eastAsia="fr-FR"/>
    </w:rPr>
  </w:style>
  <w:style w:type="character" w:styleId="Q-NotaCar">
    <w:name w:val="Q-Nota Car"/>
    <w:basedOn w:val="DefaultParagraphFont"/>
    <w:link w:val="Q-Nota"/>
    <w:qFormat/>
    <w:rPr>
      <w:rFonts w:ascii="Arial" w:hAnsi="Arial"/>
      <w:i/>
      <w:lang w:eastAsia="fr-FR"/>
    </w:rPr>
  </w:style>
  <w:style w:type="character" w:styleId="highlight">
    <w:name w:val="highlight"/>
    <w:basedOn w:val="DefaultParagraphFont"/>
    <w:qFormat/>
    <w:rPr/>
  </w:style>
  <w:style w:type="character" w:styleId="TiretCar">
    <w:name w:val="Tiret Car"/>
    <w:basedOn w:val="DefaultParagraphFont"/>
    <w:link w:val="Tiret"/>
    <w:qFormat/>
    <w:rPr>
      <w:rFonts w:ascii="Arial" w:hAnsi="Arial"/>
      <w:sz w:val="22"/>
      <w:szCs w:val="24"/>
      <w:lang w:eastAsia="fr-FR"/>
    </w:rPr>
  </w:style>
  <w:style w:type="character" w:styleId="Tiret2Car">
    <w:name w:val="Tiret 2 Car"/>
    <w:basedOn w:val="TiretCar"/>
    <w:link w:val="Tiret2"/>
    <w:qFormat/>
    <w:rPr>
      <w:rFonts w:ascii="Arial" w:hAnsi="Arial"/>
      <w:sz w:val="22"/>
      <w:szCs w:val="24"/>
      <w:lang w:eastAsia="fr-FR"/>
    </w:rPr>
  </w:style>
  <w:style w:type="character" w:styleId="LgendeCar">
    <w:name w:val="Légende Car"/>
    <w:link w:val="caption1"/>
    <w:qFormat/>
    <w:rPr>
      <w:rFonts w:ascii="Arial" w:hAnsi="Arial"/>
      <w:b/>
      <w:sz w:val="18"/>
      <w:lang w:eastAsia="fr-FR"/>
    </w:rPr>
  </w:style>
  <w:style w:type="character" w:styleId="SETECTextecourantCar">
    <w:name w:val="SETEC_Texte courant Car"/>
    <w:link w:val="SETECTextecourant"/>
    <w:qFormat/>
    <w:rPr>
      <w:rFonts w:ascii="Arial" w:hAnsi="Arial" w:eastAsia="Calibri" w:cs="Times New Roman"/>
      <w:color w:val="000000"/>
      <w:szCs w:val="18"/>
    </w:rPr>
  </w:style>
  <w:style w:type="character" w:styleId="Sous-titreCar">
    <w:name w:val="Sous-titre Car"/>
    <w:basedOn w:val="DefaultParagraphFont"/>
    <w:qFormat/>
    <w:rPr>
      <w:rFonts w:ascii="Calibri" w:hAnsi="Calibri" w:eastAsia="Times New Roman" w:cs="Times New Roman"/>
      <w:color w:val="5A5A5A"/>
      <w:spacing w:val="15"/>
      <w:sz w:val="22"/>
      <w:szCs w:val="22"/>
      <w:lang w:eastAsia="fr-FR"/>
    </w:rPr>
  </w:style>
  <w:style w:type="character" w:styleId="titre4Car1">
    <w:name w:val="titre 4 Car1"/>
    <w:basedOn w:val="DefaultParagraphFont"/>
    <w:link w:val="titre4"/>
    <w:qFormat/>
    <w:rPr>
      <w:rFonts w:ascii="Verdana" w:hAnsi="Verdana" w:eastAsia="SimSun"/>
      <w:b/>
      <w:color w:val="27CBA0"/>
      <w:sz w:val="18"/>
      <w:szCs w:val="18"/>
      <w:u w:val="single"/>
      <w:lang w:eastAsia="zh-CN"/>
    </w:rPr>
  </w:style>
  <w:style w:type="character" w:styleId="RetraitE1CarCar">
    <w:name w:val="Retrait E1 Car Car"/>
    <w:link w:val="RetraitE1"/>
    <w:qFormat/>
    <w:rPr>
      <w:rFonts w:ascii="Arial" w:hAnsi="Arial" w:eastAsia="Calibri" w:cs="Arial"/>
      <w:lang w:eastAsia="fr-FR"/>
    </w:rPr>
  </w:style>
  <w:style w:type="character" w:styleId="PucesDiadsCar">
    <w:name w:val="Puces_Diadès Car"/>
    <w:basedOn w:val="DefaultParagraphFont"/>
    <w:link w:val="PucesDiads"/>
    <w:qFormat/>
    <w:rPr>
      <w:rFonts w:ascii="Calibri" w:hAnsi="Calibri" w:eastAsia="Calibri" w:cs="Times New Roman"/>
      <w:szCs w:val="22"/>
    </w:rPr>
  </w:style>
  <w:style w:type="character" w:styleId="PlaceholderText">
    <w:name w:val="Placeholder Text"/>
    <w:basedOn w:val="DefaultParagraphFont"/>
    <w:qFormat/>
    <w:rPr>
      <w:color w:val="666666"/>
    </w:rPr>
  </w:style>
  <w:style w:type="character" w:styleId="Sautdindex">
    <w:name w:val="Saut d'index"/>
    <w:qFormat/>
    <w:rPr/>
  </w:style>
  <w:style w:type="character" w:styleId="LineNumber">
    <w:name w:val="line number"/>
    <w:rPr/>
  </w:style>
  <w:style w:type="paragraph" w:styleId="Titre">
    <w:name w:val="Titre"/>
    <w:basedOn w:val="Normal"/>
    <w:next w:val="BodyText"/>
    <w:qFormat/>
    <w:pPr>
      <w:keepNext w:val="true"/>
      <w:spacing w:before="240" w:after="120"/>
    </w:pPr>
    <w:rPr>
      <w:rFonts w:ascii="Liberation Sans" w:hAnsi="Liberation Sans" w:eastAsia="Microsoft YaHei" w:cs="Arial Unicode MS"/>
      <w:sz w:val="28"/>
      <w:szCs w:val="28"/>
    </w:rPr>
  </w:style>
  <w:style w:type="paragraph" w:styleId="BodyText">
    <w:name w:val="Body Text"/>
    <w:basedOn w:val="Normal"/>
    <w:link w:val="CorpsdetexteCar"/>
    <w:pPr>
      <w:overflowPunct w:val="false"/>
      <w:spacing w:before="0" w:after="0"/>
      <w:jc w:val="left"/>
      <w:textAlignment w:val="baseline"/>
    </w:pPr>
    <w:rPr>
      <w:rFonts w:cs="Arial"/>
      <w:bCs/>
      <w:szCs w:val="22"/>
    </w:rPr>
  </w:style>
  <w:style w:type="paragraph" w:styleId="List">
    <w:name w:val="List"/>
    <w:basedOn w:val="BodyText"/>
    <w:pPr/>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styleId="Index">
    <w:name w:val="Index"/>
    <w:basedOn w:val="Normal"/>
    <w:qFormat/>
    <w:pPr>
      <w:suppressLineNumbers/>
    </w:pPr>
    <w:rPr>
      <w:rFonts w:cs="Arial Unicode MS"/>
    </w:rPr>
  </w:style>
  <w:style w:type="paragraph" w:styleId="Title">
    <w:name w:val="Title"/>
    <w:basedOn w:val="Normal"/>
    <w:next w:val="BodyText"/>
    <w:link w:val="TitreCar"/>
    <w:qFormat/>
    <w:pPr>
      <w:numPr>
        <w:ilvl w:val="0"/>
        <w:numId w:val="0"/>
      </w:numPr>
      <w:spacing w:before="240" w:after="60"/>
      <w:jc w:val="center"/>
      <w:outlineLvl w:val="0"/>
    </w:pPr>
    <w:rPr>
      <w:rFonts w:ascii="Cambria" w:hAnsi="Cambria"/>
      <w:b/>
      <w:kern w:val="2"/>
      <w:sz w:val="32"/>
      <w:szCs w:val="32"/>
      <w:lang w:eastAsia="en-US"/>
    </w:rPr>
  </w:style>
  <w:style w:type="paragraph" w:styleId="caption1">
    <w:name w:val="caption1"/>
    <w:basedOn w:val="Normal"/>
    <w:next w:val="Normal"/>
    <w:link w:val="LgendeCar"/>
    <w:qFormat/>
    <w:pPr>
      <w:jc w:val="center"/>
    </w:pPr>
    <w:rPr>
      <w:b/>
      <w:sz w:val="18"/>
    </w:rPr>
  </w:style>
  <w:style w:type="paragraph" w:styleId="ListParagraph">
    <w:name w:val="List Paragraph"/>
    <w:basedOn w:val="Normal"/>
    <w:link w:val="ParagraphedelisteCar"/>
    <w:qFormat/>
    <w:pPr>
      <w:spacing w:before="0" w:after="40"/>
      <w:ind w:hanging="0" w:left="709" w:right="0"/>
    </w:pPr>
    <w:rPr>
      <w:rFonts w:eastAsia="SimSun"/>
      <w:bCs/>
      <w:szCs w:val="24"/>
      <w:lang w:eastAsia="zh-CN"/>
    </w:rPr>
  </w:style>
  <w:style w:type="paragraph" w:styleId="BalloonText">
    <w:name w:val="Balloon Text"/>
    <w:basedOn w:val="Normal"/>
    <w:link w:val="TextedebullesCar"/>
    <w:qFormat/>
    <w:pPr>
      <w:spacing w:before="0" w:after="0"/>
    </w:pPr>
    <w:rPr>
      <w:rFonts w:ascii="Tahoma" w:hAnsi="Tahoma" w:cs="Tahoma"/>
      <w:sz w:val="16"/>
      <w:szCs w:val="16"/>
    </w:rPr>
  </w:style>
  <w:style w:type="paragraph" w:styleId="TABLEAU">
    <w:name w:val="TABLEAU"/>
    <w:basedOn w:val="Normal"/>
    <w:qFormat/>
    <w:pPr>
      <w:spacing w:before="0" w:after="0"/>
    </w:pPr>
    <w:rPr>
      <w:bCs/>
      <w:color w:val="000000"/>
      <w:sz w:val="18"/>
    </w:rPr>
  </w:style>
  <w:style w:type="paragraph" w:styleId="Puce1-8pts">
    <w:name w:val="Puce1-8 pts"/>
    <w:basedOn w:val="Normal"/>
    <w:link w:val="Puce1-8ptsCar"/>
    <w:qFormat/>
    <w:pPr>
      <w:numPr>
        <w:ilvl w:val="0"/>
        <w:numId w:val="2"/>
      </w:numPr>
      <w:spacing w:before="0" w:after="0"/>
    </w:pPr>
    <w:rPr>
      <w:rFonts w:cs="Arial"/>
      <w:bCs/>
      <w:lang w:eastAsia="en-US"/>
    </w:rPr>
  </w:style>
  <w:style w:type="paragraph" w:styleId="CommentText">
    <w:name w:val="annotation text"/>
    <w:basedOn w:val="Normal"/>
    <w:link w:val="CommentaireCar"/>
    <w:qFormat/>
    <w:pPr>
      <w:spacing w:before="0" w:after="0"/>
    </w:pPr>
    <w:rPr>
      <w:rFonts w:eastAsia="SimSun"/>
      <w:bCs/>
      <w:lang w:eastAsia="zh-CN"/>
    </w:rPr>
  </w:style>
  <w:style w:type="paragraph" w:styleId="ListepucesColle">
    <w:name w:val="Liste à pucesCollée"/>
    <w:basedOn w:val="ListBullet"/>
    <w:link w:val="ListepucesColleCarCar"/>
    <w:qFormat/>
    <w:pPr>
      <w:keepLines/>
      <w:tabs>
        <w:tab w:val="clear" w:pos="360"/>
        <w:tab w:val="left" w:pos="284" w:leader="none"/>
      </w:tabs>
      <w:spacing w:lineRule="exact" w:line="280" w:before="0" w:after="0"/>
      <w:contextualSpacing w:val="false"/>
    </w:pPr>
    <w:rPr>
      <w:bCs/>
    </w:rPr>
  </w:style>
  <w:style w:type="paragraph" w:styleId="ListBullet">
    <w:name w:val="List Bullet"/>
    <w:basedOn w:val="Normal"/>
    <w:qFormat/>
    <w:pPr>
      <w:tabs>
        <w:tab w:val="clear" w:pos="708"/>
        <w:tab w:val="left" w:pos="360" w:leader="none"/>
      </w:tabs>
      <w:spacing w:before="0" w:after="120"/>
      <w:ind w:hanging="360" w:left="360" w:right="0"/>
      <w:contextualSpacing/>
    </w:pPr>
    <w:rPr/>
  </w:style>
  <w:style w:type="paragraph" w:styleId="TableauCAPT">
    <w:name w:val="Tableau_CAPT"/>
    <w:basedOn w:val="Normal"/>
    <w:qFormat/>
    <w:pPr>
      <w:overflowPunct w:val="false"/>
      <w:spacing w:before="0" w:after="60"/>
    </w:pPr>
    <w:rPr>
      <w:bCs/>
    </w:rPr>
  </w:style>
  <w:style w:type="paragraph" w:styleId="Paragraphe4">
    <w:name w:val="Paragraphe 4"/>
    <w:basedOn w:val="Normal"/>
    <w:qFormat/>
    <w:pPr>
      <w:keepLines/>
      <w:tabs>
        <w:tab w:val="clear" w:pos="708"/>
        <w:tab w:val="left" w:pos="1440" w:leader="none"/>
        <w:tab w:val="left" w:pos="1728" w:leader="none"/>
        <w:tab w:val="left" w:pos="2016" w:leader="none"/>
        <w:tab w:val="center" w:pos="3888" w:leader="none"/>
      </w:tabs>
      <w:ind w:hanging="0" w:left="1049" w:right="0"/>
    </w:pPr>
    <w:rPr>
      <w:rFonts w:ascii="Times New Roman" w:hAnsi="Times New Roman"/>
      <w:bCs/>
      <w:sz w:val="24"/>
    </w:rPr>
  </w:style>
  <w:style w:type="paragraph" w:styleId="Paragraphe2">
    <w:name w:val="Paragraphe 2"/>
    <w:basedOn w:val="Normal"/>
    <w:qFormat/>
    <w:pPr>
      <w:keepLines/>
      <w:tabs>
        <w:tab w:val="clear" w:pos="708"/>
        <w:tab w:val="left" w:pos="1440" w:leader="none"/>
        <w:tab w:val="left" w:pos="1728" w:leader="none"/>
        <w:tab w:val="left" w:pos="2016" w:leader="none"/>
        <w:tab w:val="center" w:pos="3888" w:leader="none"/>
      </w:tabs>
      <w:ind w:hanging="0" w:left="369" w:right="0"/>
    </w:pPr>
    <w:rPr>
      <w:rFonts w:ascii="Times New Roman" w:hAnsi="Times New Roman"/>
      <w:bCs/>
      <w:sz w:val="24"/>
    </w:rPr>
  </w:style>
  <w:style w:type="paragraph" w:styleId="Style11">
    <w:name w:val="Style1"/>
    <w:basedOn w:val="Header"/>
    <w:qFormat/>
    <w:pPr>
      <w:jc w:val="center"/>
    </w:pPr>
    <w:rPr>
      <w:rFonts w:ascii="Univers" w:hAnsi="Univers"/>
      <w:b/>
      <w:bCs/>
      <w:lang w:val="fr-CA"/>
    </w:rPr>
  </w:style>
  <w:style w:type="paragraph" w:styleId="En-tteetpieddepage">
    <w:name w:val="En-tête et pied de page"/>
    <w:basedOn w:val="Normal"/>
    <w:qFormat/>
    <w:pPr/>
    <w:rPr/>
  </w:style>
  <w:style w:type="paragraph" w:styleId="Header">
    <w:name w:val="header"/>
    <w:basedOn w:val="Normal"/>
    <w:link w:val="En-tteCar"/>
    <w:pPr>
      <w:tabs>
        <w:tab w:val="clear" w:pos="708"/>
        <w:tab w:val="center" w:pos="4536" w:leader="none"/>
        <w:tab w:val="right" w:pos="9072" w:leader="none"/>
      </w:tabs>
      <w:spacing w:before="0" w:after="0"/>
    </w:pPr>
    <w:rPr/>
  </w:style>
  <w:style w:type="paragraph" w:styleId="Paragraphe41">
    <w:name w:val="Paragraphe 4.1"/>
    <w:basedOn w:val="Normal"/>
    <w:qFormat/>
    <w:pPr>
      <w:keepLines/>
      <w:ind w:hanging="0" w:left="1219" w:right="0"/>
    </w:pPr>
    <w:rPr>
      <w:rFonts w:ascii="Times New Roman" w:hAnsi="Times New Roman"/>
      <w:bCs/>
    </w:rPr>
  </w:style>
  <w:style w:type="paragraph" w:styleId="Paragraphe5">
    <w:name w:val="Paragraphe 5"/>
    <w:basedOn w:val="Normal"/>
    <w:qFormat/>
    <w:pPr>
      <w:spacing w:before="0" w:after="240"/>
      <w:ind w:hanging="0" w:left="709" w:right="0"/>
      <w:jc w:val="left"/>
    </w:pPr>
    <w:rPr>
      <w:bCs/>
    </w:rPr>
  </w:style>
  <w:style w:type="paragraph" w:styleId="Listepucescolle1">
    <w:name w:val="Liste à puces collée"/>
    <w:basedOn w:val="ListBullet"/>
    <w:qFormat/>
    <w:pPr>
      <w:keepLines/>
      <w:numPr>
        <w:ilvl w:val="0"/>
        <w:numId w:val="3"/>
      </w:numPr>
      <w:spacing w:before="0" w:after="0"/>
      <w:contextualSpacing w:val="false"/>
    </w:pPr>
    <w:rPr>
      <w:rFonts w:ascii="Times New Roman" w:hAnsi="Times New Roman"/>
      <w:bCs/>
      <w:sz w:val="24"/>
    </w:rPr>
  </w:style>
  <w:style w:type="paragraph" w:styleId="Paragraphe3">
    <w:name w:val="Paragraphe 3"/>
    <w:basedOn w:val="Normal"/>
    <w:qFormat/>
    <w:pPr>
      <w:keepLines/>
      <w:tabs>
        <w:tab w:val="clear" w:pos="708"/>
        <w:tab w:val="left" w:pos="1440" w:leader="none"/>
        <w:tab w:val="left" w:pos="1728" w:leader="none"/>
        <w:tab w:val="left" w:pos="2016" w:leader="none"/>
        <w:tab w:val="center" w:pos="3888" w:leader="none"/>
      </w:tabs>
      <w:ind w:hanging="0" w:left="709" w:right="0"/>
    </w:pPr>
    <w:rPr>
      <w:rFonts w:ascii="Times New Roman" w:hAnsi="Times New Roman"/>
      <w:bCs/>
      <w:sz w:val="24"/>
    </w:rPr>
  </w:style>
  <w:style w:type="paragraph" w:styleId="Phil2">
    <w:name w:val="Phil2"/>
    <w:basedOn w:val="Normal"/>
    <w:qFormat/>
    <w:pPr>
      <w:numPr>
        <w:ilvl w:val="0"/>
        <w:numId w:val="4"/>
      </w:numPr>
      <w:spacing w:before="0" w:after="0"/>
      <w:jc w:val="left"/>
    </w:pPr>
    <w:rPr>
      <w:rFonts w:ascii="CG Times" w:hAnsi="CG Times"/>
      <w:b/>
      <w:bCs/>
    </w:rPr>
  </w:style>
  <w:style w:type="paragraph" w:styleId="Footer">
    <w:name w:val="footer"/>
    <w:basedOn w:val="Normal"/>
    <w:link w:val="PieddepageCar"/>
    <w:pPr>
      <w:tabs>
        <w:tab w:val="clear" w:pos="708"/>
        <w:tab w:val="center" w:pos="4536" w:leader="none"/>
        <w:tab w:val="right" w:pos="9072" w:leader="none"/>
      </w:tabs>
      <w:spacing w:before="0" w:after="0"/>
    </w:pPr>
    <w:rPr>
      <w:rFonts w:eastAsia="SimSun"/>
      <w:bCs/>
      <w:szCs w:val="24"/>
      <w:lang w:eastAsia="zh-CN"/>
    </w:rPr>
  </w:style>
  <w:style w:type="paragraph" w:styleId="NoSpacing">
    <w:name w:val="No Spacing"/>
    <w:qFormat/>
    <w:pPr>
      <w:widowControl/>
      <w:suppressAutoHyphens w:val="true"/>
      <w:kinsoku w:val="true"/>
      <w:overflowPunct w:val="true"/>
      <w:autoSpaceDE w:val="true"/>
      <w:bidi w:val="0"/>
      <w:spacing w:before="0" w:after="0"/>
      <w:jc w:val="both"/>
    </w:pPr>
    <w:rPr>
      <w:rFonts w:ascii="Arial" w:hAnsi="Arial" w:eastAsia="SimSun" w:cs="Times New Roman"/>
      <w:color w:val="auto"/>
      <w:kern w:val="0"/>
      <w:sz w:val="20"/>
      <w:szCs w:val="24"/>
      <w:lang w:val="fr-FR" w:eastAsia="zh-CN" w:bidi="ar-SA"/>
    </w:rPr>
  </w:style>
  <w:style w:type="paragraph" w:styleId="indexheading1">
    <w:name w:val="index heading1"/>
    <w:basedOn w:val="Title"/>
    <w:qFormat/>
    <w:pPr/>
    <w:rPr/>
  </w:style>
  <w:style w:type="paragraph" w:styleId="IndexHeading">
    <w:name w:val="index heading"/>
    <w:basedOn w:val="Titre"/>
    <w:pPr/>
    <w:rPr/>
  </w:style>
  <w:style w:type="paragraph" w:styleId="TOCHeading">
    <w:name w:val="TOC Heading"/>
    <w:basedOn w:val="Heading1"/>
    <w:next w:val="Normal"/>
    <w:qFormat/>
    <w:pPr>
      <w:keepLines/>
      <w:pageBreakBefore w:val="false"/>
      <w:numPr>
        <w:ilvl w:val="0"/>
        <w:numId w:val="0"/>
      </w:numPr>
      <w:pBdr>
        <w:bottom w:val="nil"/>
      </w:pBdr>
      <w:spacing w:lineRule="auto" w:line="276" w:before="480" w:after="0"/>
      <w:outlineLvl w:val="9"/>
    </w:pPr>
    <w:rPr>
      <w:rFonts w:ascii="Cambria" w:hAnsi="Cambria" w:eastAsia="Times New Roman" w:cs="Times New Roman"/>
      <w:caps w:val="false"/>
      <w:smallCaps w:val="false"/>
      <w:color w:val="365F91"/>
      <w:szCs w:val="28"/>
      <w:lang w:eastAsia="en-US"/>
    </w:rPr>
  </w:style>
  <w:style w:type="paragraph" w:styleId="TOC1">
    <w:name w:val="toc 1"/>
    <w:basedOn w:val="Normal"/>
    <w:next w:val="Normal"/>
    <w:autoRedefine/>
    <w:pPr>
      <w:tabs>
        <w:tab w:val="clear" w:pos="708"/>
        <w:tab w:val="left" w:pos="1320" w:leader="none"/>
        <w:tab w:val="right" w:pos="9062" w:leader="dot"/>
      </w:tabs>
      <w:spacing w:before="0" w:after="100"/>
    </w:pPr>
    <w:rPr/>
  </w:style>
  <w:style w:type="paragraph" w:styleId="TOC2">
    <w:name w:val="toc 2"/>
    <w:basedOn w:val="Normal"/>
    <w:next w:val="Normal"/>
    <w:autoRedefine/>
    <w:pPr>
      <w:tabs>
        <w:tab w:val="clear" w:pos="708"/>
        <w:tab w:val="right" w:pos="9062" w:leader="dot"/>
      </w:tabs>
      <w:spacing w:before="0" w:after="100"/>
      <w:ind w:hanging="0" w:left="220" w:right="0"/>
    </w:pPr>
    <w:rPr/>
  </w:style>
  <w:style w:type="paragraph" w:styleId="TOC3">
    <w:name w:val="toc 3"/>
    <w:basedOn w:val="Normal"/>
    <w:next w:val="Normal"/>
    <w:autoRedefine/>
    <w:pPr>
      <w:tabs>
        <w:tab w:val="clear" w:pos="708"/>
        <w:tab w:val="left" w:pos="1760" w:leader="none"/>
        <w:tab w:val="right" w:pos="9062" w:leader="dot"/>
      </w:tabs>
      <w:spacing w:before="0" w:after="100"/>
      <w:ind w:hanging="0" w:left="440" w:right="0"/>
    </w:pPr>
    <w:rPr/>
  </w:style>
  <w:style w:type="paragraph" w:styleId="Default">
    <w:name w:val="Default"/>
    <w:qFormat/>
    <w:pPr>
      <w:widowControl/>
      <w:suppressAutoHyphens w:val="true"/>
      <w:kinsoku w:val="true"/>
      <w:overflowPunct w:val="true"/>
      <w:autoSpaceDE w:val="true"/>
      <w:bidi w:val="0"/>
      <w:spacing w:before="0" w:after="0"/>
      <w:jc w:val="left"/>
    </w:pPr>
    <w:rPr>
      <w:rFonts w:ascii="Arial" w:hAnsi="Arial" w:eastAsia="Times New Roman" w:cs="Arial"/>
      <w:color w:val="000000"/>
      <w:kern w:val="0"/>
      <w:sz w:val="24"/>
      <w:szCs w:val="24"/>
      <w:lang w:val="fr-FR" w:eastAsia="en-US" w:bidi="ar-SA"/>
    </w:rPr>
  </w:style>
  <w:style w:type="paragraph" w:styleId="Puce1-12pts">
    <w:name w:val="Puce1-12pts"/>
    <w:basedOn w:val="BodyText"/>
    <w:qFormat/>
    <w:pPr>
      <w:keepNext w:val="true"/>
      <w:keepLines/>
      <w:overflowPunct w:val="true"/>
      <w:spacing w:before="0" w:after="240"/>
      <w:jc w:val="both"/>
      <w:textAlignment w:val="auto"/>
    </w:pPr>
    <w:rPr>
      <w:rFonts w:ascii="FuturaA Bk BT" w:hAnsi="FuturaA Bk BT" w:cs="Times New Roman"/>
    </w:rPr>
  </w:style>
  <w:style w:type="paragraph" w:styleId="Normalalina">
    <w:name w:val="Normal alinéa"/>
    <w:basedOn w:val="Normal"/>
    <w:next w:val="Normal"/>
    <w:qFormat/>
    <w:pPr>
      <w:overflowPunct w:val="false"/>
      <w:spacing w:before="0" w:after="0"/>
      <w:ind w:firstLine="397" w:left="0" w:right="0"/>
      <w:textAlignment w:val="baseline"/>
    </w:pPr>
    <w:rPr>
      <w:rFonts w:cs="Arial"/>
      <w:bCs/>
      <w:szCs w:val="22"/>
    </w:rPr>
  </w:style>
  <w:style w:type="paragraph" w:styleId="Texte">
    <w:name w:val="Texte"/>
    <w:basedOn w:val="Normal"/>
    <w:qFormat/>
    <w:pPr>
      <w:tabs>
        <w:tab w:val="clear" w:pos="708"/>
        <w:tab w:val="left" w:pos="284" w:leader="none"/>
        <w:tab w:val="left" w:pos="567" w:leader="none"/>
        <w:tab w:val="left" w:pos="1488" w:leader="none"/>
        <w:tab w:val="left" w:pos="1648" w:leader="none"/>
        <w:tab w:val="left" w:pos="9014" w:leader="none"/>
        <w:tab w:val="left" w:pos="9571" w:leader="none"/>
      </w:tabs>
      <w:overflowPunct w:val="false"/>
      <w:spacing w:before="60" w:after="0"/>
      <w:ind w:firstLine="288" w:left="288" w:right="0"/>
      <w:textAlignment w:val="baseline"/>
    </w:pPr>
    <w:rPr>
      <w:rFonts w:ascii="Times New Roman" w:hAnsi="Times New Roman"/>
      <w:bCs/>
      <w:sz w:val="24"/>
      <w:szCs w:val="24"/>
      <w:lang w:val="fr-CA"/>
    </w:rPr>
  </w:style>
  <w:style w:type="paragraph" w:styleId="Corpsdetexte21">
    <w:name w:val="Corps de texte 21"/>
    <w:basedOn w:val="Normal"/>
    <w:qFormat/>
    <w:pPr>
      <w:overflowPunct w:val="false"/>
      <w:spacing w:before="0" w:after="0"/>
      <w:ind w:firstLine="708" w:left="0" w:right="0"/>
      <w:jc w:val="left"/>
      <w:textAlignment w:val="baseline"/>
    </w:pPr>
    <w:rPr>
      <w:rFonts w:cs="Arial"/>
      <w:bCs/>
      <w:szCs w:val="22"/>
    </w:rPr>
  </w:style>
  <w:style w:type="paragraph" w:styleId="7-LISTE">
    <w:name w:val="7-LISTE"/>
    <w:basedOn w:val="Normal"/>
    <w:next w:val="Normal"/>
    <w:qFormat/>
    <w:pPr>
      <w:tabs>
        <w:tab w:val="clear" w:pos="708"/>
        <w:tab w:val="left" w:pos="1134" w:leader="none"/>
      </w:tabs>
      <w:overflowPunct w:val="false"/>
      <w:spacing w:before="0" w:after="0"/>
      <w:ind w:hanging="283" w:left="1134" w:right="0"/>
      <w:textAlignment w:val="baseline"/>
    </w:pPr>
    <w:rPr>
      <w:rFonts w:ascii="Times New Roman" w:hAnsi="Times New Roman"/>
      <w:bCs/>
      <w:color w:val="0000FF"/>
      <w:sz w:val="24"/>
      <w:szCs w:val="24"/>
    </w:rPr>
  </w:style>
  <w:style w:type="paragraph" w:styleId="8-LISTE-SUITE">
    <w:name w:val="8-LISTE-SUITE"/>
    <w:basedOn w:val="Normal"/>
    <w:qFormat/>
    <w:pPr>
      <w:tabs>
        <w:tab w:val="clear" w:pos="708"/>
        <w:tab w:val="left" w:pos="1134" w:leader="none"/>
      </w:tabs>
      <w:overflowPunct w:val="false"/>
      <w:spacing w:before="0" w:after="0"/>
      <w:ind w:hanging="284" w:left="1134" w:right="0"/>
      <w:textAlignment w:val="baseline"/>
    </w:pPr>
    <w:rPr>
      <w:rFonts w:ascii="Times New Roman" w:hAnsi="Times New Roman"/>
      <w:bCs/>
      <w:color w:val="0000FF"/>
      <w:sz w:val="24"/>
      <w:szCs w:val="24"/>
    </w:rPr>
  </w:style>
  <w:style w:type="paragraph" w:styleId="9-SOUS-LISTE">
    <w:name w:val="9-SOUS-LISTE"/>
    <w:basedOn w:val="Normal"/>
    <w:next w:val="A-SOUS-LISTE-SUITE"/>
    <w:qFormat/>
    <w:pPr>
      <w:tabs>
        <w:tab w:val="clear" w:pos="708"/>
        <w:tab w:val="left" w:pos="1702" w:leader="none"/>
      </w:tabs>
      <w:overflowPunct w:val="false"/>
      <w:spacing w:before="0" w:after="0"/>
      <w:ind w:hanging="283" w:left="1702" w:right="0"/>
      <w:textAlignment w:val="baseline"/>
    </w:pPr>
    <w:rPr>
      <w:rFonts w:cs="Arial"/>
      <w:bCs/>
      <w:color w:val="0000FF"/>
      <w:sz w:val="18"/>
      <w:szCs w:val="18"/>
    </w:rPr>
  </w:style>
  <w:style w:type="paragraph" w:styleId="A-SOUS-LISTE-SUITE">
    <w:name w:val="A-SOUS-LISTE-SUITE"/>
    <w:basedOn w:val="9-SOUS-LISTE"/>
    <w:qFormat/>
    <w:pPr>
      <w:tabs>
        <w:tab w:val="left" w:pos="2269" w:leader="none"/>
      </w:tabs>
      <w:ind w:hanging="284" w:left="1701" w:right="0"/>
    </w:pPr>
    <w:rPr>
      <w:rFonts w:ascii="Times New Roman" w:hAnsi="Times New Roman" w:cs="Times New Roman"/>
      <w:sz w:val="20"/>
      <w:szCs w:val="20"/>
    </w:rPr>
  </w:style>
  <w:style w:type="paragraph" w:styleId="TOC4">
    <w:name w:val="toc 4"/>
    <w:basedOn w:val="Normal"/>
    <w:next w:val="Normal"/>
    <w:autoRedefine/>
    <w:pPr>
      <w:spacing w:lineRule="auto" w:line="276" w:before="0" w:after="100"/>
      <w:ind w:hanging="0" w:left="660" w:right="0"/>
      <w:jc w:val="left"/>
    </w:pPr>
    <w:rPr>
      <w:rFonts w:ascii="Calibri" w:hAnsi="Calibri" w:eastAsia="Times New Roman" w:cs="Times New Roman"/>
      <w:bCs/>
      <w:szCs w:val="22"/>
    </w:rPr>
  </w:style>
  <w:style w:type="paragraph" w:styleId="TOC5">
    <w:name w:val="toc 5"/>
    <w:basedOn w:val="Normal"/>
    <w:next w:val="Normal"/>
    <w:autoRedefine/>
    <w:pPr>
      <w:spacing w:lineRule="auto" w:line="276" w:before="0" w:after="100"/>
      <w:ind w:hanging="0" w:left="880" w:right="0"/>
      <w:jc w:val="left"/>
    </w:pPr>
    <w:rPr>
      <w:rFonts w:ascii="Calibri" w:hAnsi="Calibri" w:eastAsia="Times New Roman" w:cs="Times New Roman"/>
      <w:bCs/>
      <w:szCs w:val="22"/>
    </w:rPr>
  </w:style>
  <w:style w:type="paragraph" w:styleId="TOC6">
    <w:name w:val="toc 6"/>
    <w:basedOn w:val="Normal"/>
    <w:next w:val="Normal"/>
    <w:autoRedefine/>
    <w:pPr>
      <w:spacing w:lineRule="auto" w:line="276" w:before="0" w:after="100"/>
      <w:ind w:hanging="0" w:left="1100" w:right="0"/>
      <w:jc w:val="left"/>
    </w:pPr>
    <w:rPr>
      <w:rFonts w:ascii="Calibri" w:hAnsi="Calibri" w:eastAsia="Times New Roman" w:cs="Times New Roman"/>
      <w:bCs/>
      <w:szCs w:val="22"/>
    </w:rPr>
  </w:style>
  <w:style w:type="paragraph" w:styleId="TOC7">
    <w:name w:val="toc 7"/>
    <w:basedOn w:val="Normal"/>
    <w:next w:val="Normal"/>
    <w:autoRedefine/>
    <w:pPr>
      <w:spacing w:lineRule="auto" w:line="276" w:before="0" w:after="100"/>
      <w:ind w:hanging="0" w:left="1320" w:right="0"/>
      <w:jc w:val="left"/>
    </w:pPr>
    <w:rPr>
      <w:rFonts w:ascii="Calibri" w:hAnsi="Calibri" w:eastAsia="Times New Roman" w:cs="Times New Roman"/>
      <w:bCs/>
      <w:szCs w:val="22"/>
    </w:rPr>
  </w:style>
  <w:style w:type="paragraph" w:styleId="TOC8">
    <w:name w:val="toc 8"/>
    <w:basedOn w:val="Normal"/>
    <w:next w:val="Normal"/>
    <w:autoRedefine/>
    <w:pPr>
      <w:spacing w:lineRule="auto" w:line="276" w:before="0" w:after="100"/>
      <w:ind w:hanging="0" w:left="1540" w:right="0"/>
      <w:jc w:val="left"/>
    </w:pPr>
    <w:rPr>
      <w:rFonts w:ascii="Calibri" w:hAnsi="Calibri" w:eastAsia="Times New Roman" w:cs="Times New Roman"/>
      <w:bCs/>
      <w:szCs w:val="22"/>
    </w:rPr>
  </w:style>
  <w:style w:type="paragraph" w:styleId="TOC9">
    <w:name w:val="toc 9"/>
    <w:basedOn w:val="Normal"/>
    <w:next w:val="Normal"/>
    <w:autoRedefine/>
    <w:pPr>
      <w:spacing w:lineRule="auto" w:line="276" w:before="0" w:after="100"/>
      <w:ind w:hanging="0" w:left="1760" w:right="0"/>
      <w:jc w:val="left"/>
    </w:pPr>
    <w:rPr>
      <w:rFonts w:ascii="Calibri" w:hAnsi="Calibri" w:eastAsia="Times New Roman" w:cs="Times New Roman"/>
      <w:bCs/>
      <w:szCs w:val="22"/>
    </w:rPr>
  </w:style>
  <w:style w:type="paragraph" w:styleId="puce1">
    <w:name w:val="puce1"/>
    <w:basedOn w:val="Normal"/>
    <w:qFormat/>
    <w:pPr>
      <w:overflowPunct w:val="false"/>
      <w:spacing w:before="0" w:after="0"/>
      <w:ind w:hanging="284" w:left="851" w:right="0"/>
    </w:pPr>
    <w:rPr>
      <w:rFonts w:cs="Arial"/>
      <w:bCs/>
      <w:szCs w:val="22"/>
    </w:rPr>
  </w:style>
  <w:style w:type="paragraph" w:styleId="annotationsubject">
    <w:name w:val="annotation subject"/>
    <w:basedOn w:val="CommentText"/>
    <w:next w:val="CommentText"/>
    <w:link w:val="ObjetducommentaireCar"/>
    <w:qFormat/>
    <w:pPr>
      <w:spacing w:before="0" w:after="120"/>
    </w:pPr>
    <w:rPr>
      <w:rFonts w:eastAsia="Times New Roman"/>
      <w:b/>
      <w:bCs w:val="false"/>
      <w:lang w:eastAsia="fr-FR"/>
    </w:rPr>
  </w:style>
  <w:style w:type="paragraph" w:styleId="NormalWeb">
    <w:name w:val="Normal (Web)"/>
    <w:basedOn w:val="Normal"/>
    <w:qFormat/>
    <w:pPr>
      <w:spacing w:before="280" w:after="280"/>
      <w:jc w:val="left"/>
    </w:pPr>
    <w:rPr>
      <w:rFonts w:ascii="Times New Roman" w:hAnsi="Times New Roman"/>
      <w:bCs/>
      <w:sz w:val="24"/>
      <w:szCs w:val="24"/>
    </w:rPr>
  </w:style>
  <w:style w:type="paragraph" w:styleId="Revision">
    <w:name w:val="Revision"/>
    <w:qFormat/>
    <w:pPr>
      <w:widowControl/>
      <w:suppressAutoHyphens w:val="true"/>
      <w:kinsoku w:val="true"/>
      <w:overflowPunct w:val="true"/>
      <w:autoSpaceDE w:val="true"/>
      <w:bidi w:val="0"/>
      <w:spacing w:before="0" w:after="0"/>
      <w:jc w:val="left"/>
    </w:pPr>
    <w:rPr>
      <w:rFonts w:ascii="Arial" w:hAnsi="Arial" w:eastAsia="Times New Roman" w:cs="Times New Roman"/>
      <w:bCs/>
      <w:color w:val="auto"/>
      <w:kern w:val="0"/>
      <w:sz w:val="22"/>
      <w:szCs w:val="20"/>
      <w:lang w:val="fr-FR" w:eastAsia="fr-FR" w:bidi="ar-SA"/>
    </w:rPr>
  </w:style>
  <w:style w:type="paragraph" w:styleId="SETECTextecourant">
    <w:name w:val="SETEC_Texte courant"/>
    <w:link w:val="SETECTextecourantCar"/>
    <w:qFormat/>
    <w:pPr>
      <w:widowControl/>
      <w:suppressAutoHyphens w:val="true"/>
      <w:kinsoku w:val="true"/>
      <w:overflowPunct w:val="true"/>
      <w:autoSpaceDE w:val="true"/>
      <w:bidi w:val="0"/>
      <w:spacing w:before="120" w:after="120"/>
      <w:jc w:val="both"/>
    </w:pPr>
    <w:rPr>
      <w:rFonts w:ascii="Arial" w:hAnsi="Arial" w:eastAsia="Calibri" w:cs="Times New Roman"/>
      <w:color w:val="000000"/>
      <w:kern w:val="0"/>
      <w:sz w:val="20"/>
      <w:szCs w:val="18"/>
      <w:lang w:val="fr-FR" w:eastAsia="en-US" w:bidi="ar-SA"/>
    </w:rPr>
  </w:style>
  <w:style w:type="paragraph" w:styleId="BodyTextIndent3">
    <w:name w:val="Body Text Indent 3"/>
    <w:basedOn w:val="Normal"/>
    <w:link w:val="Retraitcorpsdetexte3Car"/>
    <w:qFormat/>
    <w:pPr>
      <w:ind w:hanging="0" w:left="283" w:right="0"/>
    </w:pPr>
    <w:rPr>
      <w:sz w:val="16"/>
      <w:szCs w:val="16"/>
    </w:rPr>
  </w:style>
  <w:style w:type="paragraph" w:styleId="BodyTextIndent">
    <w:name w:val="Body Text Indent"/>
    <w:basedOn w:val="Normal"/>
    <w:link w:val="RetraitcorpsdetexteCar"/>
    <w:pPr>
      <w:ind w:hanging="0" w:left="283" w:right="0"/>
    </w:pPr>
    <w:rPr/>
  </w:style>
  <w:style w:type="paragraph" w:styleId="textepuce1">
    <w:name w:val="textepuce1"/>
    <w:basedOn w:val="Normal"/>
    <w:qFormat/>
    <w:pPr>
      <w:overflowPunct w:val="false"/>
      <w:spacing w:before="0" w:after="0"/>
      <w:ind w:hanging="0" w:left="851" w:right="0"/>
      <w:textAlignment w:val="baseline"/>
    </w:pPr>
    <w:rPr>
      <w:rFonts w:cs="Arial"/>
      <w:sz w:val="22"/>
      <w:szCs w:val="22"/>
    </w:rPr>
  </w:style>
  <w:style w:type="paragraph" w:styleId="retrait2">
    <w:name w:val="retrait2"/>
    <w:basedOn w:val="Normal"/>
    <w:qFormat/>
    <w:pPr>
      <w:tabs>
        <w:tab w:val="clear" w:pos="708"/>
        <w:tab w:val="left" w:pos="284" w:leader="none"/>
      </w:tabs>
      <w:overflowPunct w:val="false"/>
      <w:spacing w:before="0" w:after="0"/>
      <w:ind w:hanging="284" w:left="851" w:right="0"/>
      <w:textAlignment w:val="baseline"/>
    </w:pPr>
    <w:rPr>
      <w:rFonts w:ascii="Dutch801BM" w:hAnsi="Dutch801BM"/>
    </w:rPr>
  </w:style>
  <w:style w:type="paragraph" w:styleId="Stylenormal">
    <w:name w:val="Style normal"/>
    <w:basedOn w:val="Normal"/>
    <w:link w:val="StylenormalCar"/>
    <w:qFormat/>
    <w:pPr>
      <w:spacing w:before="0" w:after="0"/>
      <w:ind w:hanging="0" w:left="284" w:right="284"/>
    </w:pPr>
    <w:rPr>
      <w:rFonts w:ascii="Calibri" w:hAnsi="Calibri"/>
      <w:sz w:val="22"/>
      <w:szCs w:val="24"/>
      <w:lang w:eastAsia="en-US"/>
    </w:rPr>
  </w:style>
  <w:style w:type="paragraph" w:styleId="numration-">
    <w:name w:val="énumération -"/>
    <w:basedOn w:val="Normal"/>
    <w:qFormat/>
    <w:pPr>
      <w:numPr>
        <w:ilvl w:val="0"/>
        <w:numId w:val="5"/>
      </w:numPr>
      <w:spacing w:before="0" w:after="240"/>
    </w:pPr>
    <w:rPr>
      <w:spacing w:val="-6"/>
    </w:rPr>
  </w:style>
  <w:style w:type="paragraph" w:styleId="Retraitcorpsdetexte31">
    <w:name w:val="Retrait corps de texte 31"/>
    <w:basedOn w:val="Normal"/>
    <w:qFormat/>
    <w:pPr>
      <w:spacing w:before="0" w:after="60"/>
      <w:ind w:firstLine="426" w:left="0" w:right="0"/>
      <w:contextualSpacing/>
    </w:pPr>
    <w:rPr>
      <w:rFonts w:eastAsia="SimSun" w:cs="Arial"/>
      <w:sz w:val="22"/>
      <w:szCs w:val="22"/>
    </w:rPr>
  </w:style>
  <w:style w:type="paragraph" w:styleId="alina1">
    <w:name w:val="alinéa 1"/>
    <w:basedOn w:val="Normal"/>
    <w:qFormat/>
    <w:pPr>
      <w:numPr>
        <w:ilvl w:val="0"/>
        <w:numId w:val="6"/>
      </w:numPr>
      <w:tabs>
        <w:tab w:val="clear" w:pos="708"/>
        <w:tab w:val="left" w:pos="1276" w:leader="none"/>
      </w:tabs>
      <w:ind w:hanging="425" w:left="1276" w:right="0"/>
    </w:pPr>
    <w:rPr>
      <w:rFonts w:cs="Arial"/>
      <w:szCs w:val="22"/>
    </w:rPr>
  </w:style>
  <w:style w:type="paragraph" w:styleId="ListBullet2">
    <w:name w:val="List Bullet 2"/>
    <w:basedOn w:val="Normal"/>
    <w:qFormat/>
    <w:pPr>
      <w:numPr>
        <w:ilvl w:val="0"/>
        <w:numId w:val="7"/>
      </w:numPr>
      <w:spacing w:before="120" w:after="60"/>
      <w:contextualSpacing/>
    </w:pPr>
    <w:rPr>
      <w:rFonts w:eastAsia="SimSun" w:cs="Helvetica"/>
      <w:sz w:val="22"/>
      <w:szCs w:val="24"/>
      <w:lang w:eastAsia="zh-CN"/>
    </w:rPr>
  </w:style>
  <w:style w:type="paragraph" w:styleId="Paragraphedeliste1">
    <w:name w:val="Paragraphe de liste1"/>
    <w:basedOn w:val="Normal"/>
    <w:qFormat/>
    <w:pPr>
      <w:spacing w:before="120" w:after="0"/>
      <w:ind w:hanging="0" w:left="708" w:right="0"/>
    </w:pPr>
    <w:rPr>
      <w:rFonts w:eastAsia="SimSun"/>
      <w:color w:val="00000A"/>
      <w:kern w:val="2"/>
      <w:szCs w:val="24"/>
      <w:lang w:eastAsia="zh-CN"/>
    </w:rPr>
  </w:style>
  <w:style w:type="paragraph" w:styleId="puce2">
    <w:name w:val="puce2"/>
    <w:basedOn w:val="Normal"/>
    <w:qFormat/>
    <w:pPr>
      <w:spacing w:before="0" w:after="60"/>
      <w:ind w:hanging="284" w:left="1418" w:right="0"/>
      <w:contextualSpacing/>
    </w:pPr>
    <w:rPr>
      <w:rFonts w:eastAsia="SimSun" w:cs="Arial"/>
      <w:sz w:val="22"/>
      <w:szCs w:val="22"/>
    </w:rPr>
  </w:style>
  <w:style w:type="paragraph" w:styleId="Q-Texte">
    <w:name w:val="Q-Texte"/>
    <w:link w:val="Q-TexteCar"/>
    <w:qFormat/>
    <w:pPr>
      <w:widowControl/>
      <w:suppressAutoHyphens w:val="true"/>
      <w:kinsoku w:val="true"/>
      <w:overflowPunct w:val="true"/>
      <w:autoSpaceDE w:val="true"/>
      <w:bidi w:val="0"/>
      <w:spacing w:before="160" w:after="0"/>
      <w:ind w:hanging="0" w:left="567" w:right="0"/>
      <w:jc w:val="both"/>
    </w:pPr>
    <w:rPr>
      <w:rFonts w:ascii="Arial" w:hAnsi="Arial" w:eastAsia="Times New Roman" w:cs="Times New Roman"/>
      <w:color w:val="auto"/>
      <w:kern w:val="0"/>
      <w:sz w:val="20"/>
      <w:szCs w:val="20"/>
      <w:lang w:val="fr-FR" w:eastAsia="fr-FR" w:bidi="ar-SA"/>
    </w:rPr>
  </w:style>
  <w:style w:type="paragraph" w:styleId="Q-Enumration1">
    <w:name w:val="Q-Enumération 1"/>
    <w:qFormat/>
    <w:pPr>
      <w:keepNext w:val="true"/>
      <w:keepLines/>
      <w:widowControl/>
      <w:numPr>
        <w:ilvl w:val="0"/>
        <w:numId w:val="8"/>
      </w:numPr>
      <w:suppressAutoHyphens w:val="true"/>
      <w:kinsoku w:val="true"/>
      <w:overflowPunct w:val="true"/>
      <w:autoSpaceDE w:val="true"/>
      <w:bidi w:val="0"/>
      <w:spacing w:before="0" w:after="0"/>
      <w:contextualSpacing/>
      <w:jc w:val="both"/>
    </w:pPr>
    <w:rPr>
      <w:rFonts w:ascii="Arial" w:hAnsi="Arial" w:eastAsia="Times New Roman" w:cs="Times New Roman"/>
      <w:color w:val="auto"/>
      <w:kern w:val="0"/>
      <w:sz w:val="20"/>
      <w:szCs w:val="20"/>
      <w:lang w:val="fr-FR" w:eastAsia="fr-FR" w:bidi="ar-SA"/>
    </w:rPr>
  </w:style>
  <w:style w:type="paragraph" w:styleId="Q-Nota">
    <w:name w:val="Q-Nota"/>
    <w:next w:val="Q-Texte"/>
    <w:link w:val="Q-NotaCar"/>
    <w:qFormat/>
    <w:pPr>
      <w:widowControl/>
      <w:suppressAutoHyphens w:val="true"/>
      <w:kinsoku w:val="true"/>
      <w:overflowPunct w:val="true"/>
      <w:autoSpaceDE w:val="true"/>
      <w:bidi w:val="0"/>
      <w:spacing w:before="160" w:after="0"/>
      <w:ind w:hanging="0" w:left="567" w:right="0"/>
      <w:jc w:val="both"/>
    </w:pPr>
    <w:rPr>
      <w:rFonts w:ascii="Arial" w:hAnsi="Arial" w:eastAsia="Times New Roman" w:cs="Times New Roman"/>
      <w:i/>
      <w:color w:val="auto"/>
      <w:kern w:val="0"/>
      <w:sz w:val="20"/>
      <w:szCs w:val="20"/>
      <w:lang w:val="fr-FR" w:eastAsia="fr-FR" w:bidi="ar-SA"/>
    </w:rPr>
  </w:style>
  <w:style w:type="paragraph" w:styleId="TableParagraph">
    <w:name w:val="Table Paragraph"/>
    <w:basedOn w:val="Normal"/>
    <w:qFormat/>
    <w:pPr>
      <w:widowControl w:val="false"/>
      <w:spacing w:before="0" w:after="0"/>
      <w:jc w:val="left"/>
    </w:pPr>
    <w:rPr>
      <w:rFonts w:eastAsia="Arial" w:cs="Arial"/>
      <w:sz w:val="22"/>
      <w:szCs w:val="22"/>
      <w:lang w:bidi="fr-FR"/>
    </w:rPr>
  </w:style>
  <w:style w:type="paragraph" w:styleId="Tiret">
    <w:name w:val="Tiret"/>
    <w:basedOn w:val="Normal"/>
    <w:link w:val="TiretCar"/>
    <w:qFormat/>
    <w:pPr>
      <w:numPr>
        <w:ilvl w:val="0"/>
        <w:numId w:val="9"/>
      </w:numPr>
    </w:pPr>
    <w:rPr>
      <w:sz w:val="22"/>
      <w:szCs w:val="24"/>
    </w:rPr>
  </w:style>
  <w:style w:type="paragraph" w:styleId="Tiret2">
    <w:name w:val="Tiret 2"/>
    <w:basedOn w:val="Tiret"/>
    <w:link w:val="Tiret2Car"/>
    <w:qFormat/>
    <w:pPr/>
    <w:rPr/>
  </w:style>
  <w:style w:type="paragraph" w:styleId="TextecourantDiads">
    <w:name w:val="Texte courant_Diadès"/>
    <w:qFormat/>
    <w:pPr>
      <w:widowControl/>
      <w:suppressAutoHyphens w:val="true"/>
      <w:kinsoku w:val="true"/>
      <w:overflowPunct w:val="true"/>
      <w:autoSpaceDE w:val="true"/>
      <w:bidi w:val="0"/>
      <w:spacing w:before="160" w:after="0"/>
      <w:contextualSpacing/>
      <w:jc w:val="both"/>
    </w:pPr>
    <w:rPr>
      <w:rFonts w:ascii="Arial" w:hAnsi="Arial" w:eastAsia="Calibri" w:cs="Times New Roman"/>
      <w:color w:val="000000"/>
      <w:kern w:val="0"/>
      <w:sz w:val="20"/>
      <w:szCs w:val="18"/>
      <w:lang w:val="fr-FR" w:eastAsia="en-US" w:bidi="ar-SA"/>
    </w:rPr>
  </w:style>
  <w:style w:type="paragraph" w:styleId="listepuce">
    <w:name w:val="liste à puce"/>
    <w:basedOn w:val="Normal"/>
    <w:next w:val="Normal"/>
    <w:qFormat/>
    <w:pPr>
      <w:numPr>
        <w:ilvl w:val="0"/>
        <w:numId w:val="10"/>
      </w:numPr>
      <w:spacing w:before="60" w:after="60"/>
    </w:pPr>
    <w:rPr>
      <w:rFonts w:cs="Arial"/>
      <w:bCs/>
      <w:color w:val="000000"/>
    </w:rPr>
  </w:style>
  <w:style w:type="paragraph" w:styleId="Subtitle">
    <w:name w:val="Subtitle"/>
    <w:basedOn w:val="Normal"/>
    <w:next w:val="Normal"/>
    <w:link w:val="Sous-titreCar"/>
    <w:qFormat/>
    <w:pPr>
      <w:spacing w:before="0" w:after="160"/>
    </w:pPr>
    <w:rPr>
      <w:rFonts w:ascii="Calibri" w:hAnsi="Calibri" w:eastAsia="Times New Roman" w:cs="Times New Roman"/>
      <w:color w:val="5A5A5A"/>
      <w:spacing w:val="15"/>
      <w:sz w:val="22"/>
      <w:szCs w:val="22"/>
    </w:rPr>
  </w:style>
  <w:style w:type="paragraph" w:styleId="Texte2">
    <w:name w:val="Texte 2"/>
    <w:basedOn w:val="Normal"/>
    <w:qFormat/>
    <w:pPr>
      <w:overflowPunct w:val="false"/>
      <w:spacing w:before="240" w:after="0"/>
      <w:textAlignment w:val="baseline"/>
    </w:pPr>
    <w:rPr>
      <w:rFonts w:ascii="New Century Schlbk" w:hAnsi="New Century Schlbk"/>
      <w:sz w:val="24"/>
    </w:rPr>
  </w:style>
  <w:style w:type="paragraph" w:styleId="titre4">
    <w:name w:val="titre 4"/>
    <w:basedOn w:val="Heading3"/>
    <w:next w:val="Normal"/>
    <w:link w:val="titre4Car1"/>
    <w:qFormat/>
    <w:pPr>
      <w:numPr>
        <w:ilvl w:val="0"/>
        <w:numId w:val="11"/>
      </w:numPr>
      <w:pBdr>
        <w:bottom w:val="single" w:sz="4" w:space="1" w:color="000000"/>
      </w:pBdr>
      <w:tabs>
        <w:tab w:val="clear" w:pos="708"/>
        <w:tab w:val="left" w:pos="1134" w:leader="none"/>
        <w:tab w:val="left" w:pos="1701" w:leader="none"/>
        <w:tab w:val="left" w:pos="2268" w:leader="none"/>
      </w:tabs>
      <w:spacing w:before="240" w:after="60"/>
      <w:ind w:hanging="0" w:left="0" w:right="1134"/>
      <w:jc w:val="both"/>
      <w:outlineLvl w:val="4"/>
    </w:pPr>
    <w:rPr>
      <w:rFonts w:ascii="Verdana" w:hAnsi="Verdana"/>
      <w:b/>
      <w:color w:val="27CBA0"/>
      <w:sz w:val="18"/>
      <w:szCs w:val="18"/>
      <w:lang w:eastAsia="zh-CN"/>
    </w:rPr>
  </w:style>
  <w:style w:type="paragraph" w:styleId="RetraitE1">
    <w:name w:val="Retrait E1"/>
    <w:basedOn w:val="Normal"/>
    <w:link w:val="RetraitE1CarCar"/>
    <w:qFormat/>
    <w:pPr>
      <w:spacing w:lineRule="atLeast" w:line="216" w:before="24" w:after="48"/>
      <w:ind w:hanging="142" w:left="142" w:right="0"/>
    </w:pPr>
    <w:rPr>
      <w:rFonts w:eastAsia="Calibri" w:cs="Arial"/>
    </w:rPr>
  </w:style>
  <w:style w:type="paragraph" w:styleId="PucesDiads">
    <w:name w:val="Puces_Diadès"/>
    <w:basedOn w:val="Normal"/>
    <w:link w:val="PucesDiadsCar"/>
    <w:qFormat/>
    <w:pPr>
      <w:numPr>
        <w:ilvl w:val="0"/>
        <w:numId w:val="12"/>
      </w:numPr>
      <w:spacing w:lineRule="auto" w:line="288" w:before="160" w:after="160"/>
      <w:ind w:hanging="357" w:left="714" w:right="0"/>
      <w:contextualSpacing/>
    </w:pPr>
    <w:rPr>
      <w:rFonts w:ascii="Calibri" w:hAnsi="Calibri" w:eastAsia="Calibri" w:cs="Times New Roman"/>
      <w:szCs w:val="22"/>
      <w:lang w:eastAsia="en-US"/>
    </w:rPr>
  </w:style>
  <w:style w:type="paragraph" w:styleId="Contenudecadre">
    <w:name w:val="Contenu de cadre"/>
    <w:basedOn w:val="Normal"/>
    <w:qFormat/>
    <w:pPr/>
    <w:rPr/>
  </w:style>
  <w:style w:type="paragraph" w:styleId="Contenudetableau">
    <w:name w:val="Contenu de tableau"/>
    <w:basedOn w:val="Normal"/>
    <w:qFormat/>
    <w:pPr>
      <w:widowControl w:val="false"/>
      <w:suppressLineNumbers/>
    </w:pPr>
    <w:rPr/>
  </w:style>
  <w:style w:type="paragraph" w:styleId="Titredetableau">
    <w:name w:val="Titre de tableau"/>
    <w:basedOn w:val="Contenudetableau"/>
    <w:qFormat/>
    <w:pPr>
      <w:suppressLineNumbers/>
      <w:jc w:val="center"/>
    </w:pPr>
    <w:rPr>
      <w:b/>
      <w:bC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image" Target="media/image2.jpeg"/><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header" Target="header2.xml"/><Relationship Id="rId7" Type="http://schemas.openxmlformats.org/officeDocument/2006/relationships/header" Target="header3.xml"/><Relationship Id="rId8" Type="http://schemas.openxmlformats.org/officeDocument/2006/relationships/footer" Target="footer2.xml"/><Relationship Id="rId9" Type="http://schemas.openxmlformats.org/officeDocument/2006/relationships/footer" Target="footer3.xml"/><Relationship Id="rId10" Type="http://schemas.openxmlformats.org/officeDocument/2006/relationships/header" Target="header4.xml"/><Relationship Id="rId11" Type="http://schemas.openxmlformats.org/officeDocument/2006/relationships/header" Target="header5.xml"/><Relationship Id="rId12" Type="http://schemas.openxmlformats.org/officeDocument/2006/relationships/footer" Target="footer4.xml"/><Relationship Id="rId13" Type="http://schemas.openxmlformats.org/officeDocument/2006/relationships/footer" Target="footer5.xml"/><Relationship Id="rId14" Type="http://schemas.openxmlformats.org/officeDocument/2006/relationships/header" Target="header6.xml"/><Relationship Id="rId15" Type="http://schemas.openxmlformats.org/officeDocument/2006/relationships/header" Target="header7.xml"/><Relationship Id="rId16" Type="http://schemas.openxmlformats.org/officeDocument/2006/relationships/footer" Target="footer6.xml"/><Relationship Id="rId17" Type="http://schemas.openxmlformats.org/officeDocument/2006/relationships/footer" Target="footer7.xml"/><Relationship Id="rId18" Type="http://schemas.openxmlformats.org/officeDocument/2006/relationships/header" Target="header8.xml"/><Relationship Id="rId19" Type="http://schemas.openxmlformats.org/officeDocument/2006/relationships/header" Target="header9.xml"/><Relationship Id="rId20" Type="http://schemas.openxmlformats.org/officeDocument/2006/relationships/footer" Target="footer8.xml"/><Relationship Id="rId21" Type="http://schemas.openxmlformats.org/officeDocument/2006/relationships/footer" Target="footer9.xml"/><Relationship Id="rId22" Type="http://schemas.openxmlformats.org/officeDocument/2006/relationships/header" Target="header10.xml"/><Relationship Id="rId23" Type="http://schemas.openxmlformats.org/officeDocument/2006/relationships/header" Target="header11.xml"/><Relationship Id="rId24" Type="http://schemas.openxmlformats.org/officeDocument/2006/relationships/footer" Target="footer10.xml"/><Relationship Id="rId25" Type="http://schemas.openxmlformats.org/officeDocument/2006/relationships/footer" Target="footer11.xml"/><Relationship Id="rId26" Type="http://schemas.openxmlformats.org/officeDocument/2006/relationships/header" Target="header12.xml"/><Relationship Id="rId27" Type="http://schemas.openxmlformats.org/officeDocument/2006/relationships/header" Target="header13.xml"/><Relationship Id="rId28" Type="http://schemas.openxmlformats.org/officeDocument/2006/relationships/footer" Target="footer12.xml"/><Relationship Id="rId29" Type="http://schemas.openxmlformats.org/officeDocument/2006/relationships/footer" Target="footer13.xml"/><Relationship Id="rId30" Type="http://schemas.openxmlformats.org/officeDocument/2006/relationships/header" Target="header14.xml"/><Relationship Id="rId31" Type="http://schemas.openxmlformats.org/officeDocument/2006/relationships/header" Target="header15.xml"/><Relationship Id="rId32" Type="http://schemas.openxmlformats.org/officeDocument/2006/relationships/footer" Target="footer14.xml"/><Relationship Id="rId33" Type="http://schemas.openxmlformats.org/officeDocument/2006/relationships/footer" Target="footer15.xml"/><Relationship Id="rId34" Type="http://schemas.openxmlformats.org/officeDocument/2006/relationships/header" Target="header16.xml"/><Relationship Id="rId35" Type="http://schemas.openxmlformats.org/officeDocument/2006/relationships/header" Target="header17.xml"/><Relationship Id="rId36" Type="http://schemas.openxmlformats.org/officeDocument/2006/relationships/footer" Target="footer16.xml"/><Relationship Id="rId37" Type="http://schemas.openxmlformats.org/officeDocument/2006/relationships/footer" Target="footer17.xml"/><Relationship Id="rId38" Type="http://schemas.openxmlformats.org/officeDocument/2006/relationships/header" Target="header18.xml"/><Relationship Id="rId39" Type="http://schemas.openxmlformats.org/officeDocument/2006/relationships/header" Target="header19.xml"/><Relationship Id="rId40" Type="http://schemas.openxmlformats.org/officeDocument/2006/relationships/footer" Target="footer18.xml"/><Relationship Id="rId41" Type="http://schemas.openxmlformats.org/officeDocument/2006/relationships/footer" Target="footer19.xml"/><Relationship Id="rId42" Type="http://schemas.openxmlformats.org/officeDocument/2006/relationships/header" Target="header20.xml"/><Relationship Id="rId43" Type="http://schemas.openxmlformats.org/officeDocument/2006/relationships/header" Target="header21.xml"/><Relationship Id="rId44" Type="http://schemas.openxmlformats.org/officeDocument/2006/relationships/footer" Target="footer20.xml"/><Relationship Id="rId45" Type="http://schemas.openxmlformats.org/officeDocument/2006/relationships/footer" Target="footer21.xml"/><Relationship Id="rId46" Type="http://schemas.openxmlformats.org/officeDocument/2006/relationships/header" Target="header22.xml"/><Relationship Id="rId47" Type="http://schemas.openxmlformats.org/officeDocument/2006/relationships/header" Target="header23.xml"/><Relationship Id="rId48" Type="http://schemas.openxmlformats.org/officeDocument/2006/relationships/footer" Target="footer22.xml"/><Relationship Id="rId49" Type="http://schemas.openxmlformats.org/officeDocument/2006/relationships/footer" Target="footer23.xml"/><Relationship Id="rId50" Type="http://schemas.openxmlformats.org/officeDocument/2006/relationships/header" Target="header24.xml"/><Relationship Id="rId51" Type="http://schemas.openxmlformats.org/officeDocument/2006/relationships/header" Target="header25.xml"/><Relationship Id="rId52" Type="http://schemas.openxmlformats.org/officeDocument/2006/relationships/footer" Target="footer24.xml"/><Relationship Id="rId53" Type="http://schemas.openxmlformats.org/officeDocument/2006/relationships/footer" Target="footer25.xml"/><Relationship Id="rId54" Type="http://schemas.openxmlformats.org/officeDocument/2006/relationships/numbering" Target="numbering.xml"/><Relationship Id="rId55" Type="http://schemas.openxmlformats.org/officeDocument/2006/relationships/fontTable" Target="fontTable.xml"/><Relationship Id="rId56" Type="http://schemas.openxmlformats.org/officeDocument/2006/relationships/settings" Target="settings.xml"/><Relationship Id="rId57" Type="http://schemas.openxmlformats.org/officeDocument/2006/relationships/theme" Target="theme/theme1.xml"/>
</Relationships>
</file>

<file path=word/_rels/footer1.xml.rels><?xml version="1.0" encoding="UTF-8"?>
<Relationships xmlns="http://schemas.openxmlformats.org/package/2006/relationships"><Relationship Id="rId1" Type="http://schemas.openxmlformats.org/officeDocument/2006/relationships/image" Target="media/image4.jpeg"/><Relationship Id="rId2" Type="http://schemas.openxmlformats.org/officeDocument/2006/relationships/hyperlink" Target="mailto:diades.aix@setec.com" TargetMode="External"/><Relationship Id="rId3" Type="http://schemas.openxmlformats.org/officeDocument/2006/relationships/hyperlink" Target="mailto:diades.lyon@setec.com" TargetMode="External"/><Relationship Id="rId4" Type="http://schemas.openxmlformats.org/officeDocument/2006/relationships/hyperlink" Target="mailto:diades.bordeaux@setec.com" TargetMode="External"/><Relationship Id="rId5" Type="http://schemas.openxmlformats.org/officeDocument/2006/relationships/hyperlink" Target="mailto:diades.strasbourg@setec.com" TargetMode="External"/><Relationship Id="rId6" Type="http://schemas.openxmlformats.org/officeDocument/2006/relationships/hyperlink" Target="mailto:diades@setec.com" TargetMode="External"/><Relationship Id="rId7" Type="http://schemas.openxmlformats.org/officeDocument/2006/relationships/hyperlink" Target="http://www.diades.fr/" TargetMode="External"/><Relationship Id="rId8" Type="http://schemas.openxmlformats.org/officeDocument/2006/relationships/hyperlink" Target="mailto:diades.aix@setec.com" TargetMode="External"/><Relationship Id="rId9" Type="http://schemas.openxmlformats.org/officeDocument/2006/relationships/hyperlink" Target="mailto:diades.lyon@setec.com" TargetMode="External"/><Relationship Id="rId10" Type="http://schemas.openxmlformats.org/officeDocument/2006/relationships/hyperlink" Target="mailto:diades.bordeaux@setec.com" TargetMode="External"/><Relationship Id="rId11" Type="http://schemas.openxmlformats.org/officeDocument/2006/relationships/hyperlink" Target="mailto:diades.strasbourg@setec.com" TargetMode="External"/><Relationship Id="rId12" Type="http://schemas.openxmlformats.org/officeDocument/2006/relationships/hyperlink" Target="mailto:diades@setec.com" TargetMode="External"/><Relationship Id="rId13" Type="http://schemas.openxmlformats.org/officeDocument/2006/relationships/hyperlink" Target="http://www.diades.fr/" TargetMode="External"/>
</Relationships>
</file>

<file path=word/_rels/footer10.xml.rels><?xml version="1.0" encoding="UTF-8"?>
<Relationships xmlns="http://schemas.openxmlformats.org/package/2006/relationships"><Relationship Id="rId1" Type="http://schemas.openxmlformats.org/officeDocument/2006/relationships/image" Target="media/image1.jpeg"/>
</Relationships>
</file>

<file path=word/_rels/footer12.xml.rels><?xml version="1.0" encoding="UTF-8"?>
<Relationships xmlns="http://schemas.openxmlformats.org/package/2006/relationships"><Relationship Id="rId1" Type="http://schemas.openxmlformats.org/officeDocument/2006/relationships/image" Target="media/image1.jpeg"/>
</Relationships>
</file>

<file path=word/_rels/footer14.xml.rels><?xml version="1.0" encoding="UTF-8"?>
<Relationships xmlns="http://schemas.openxmlformats.org/package/2006/relationships"><Relationship Id="rId1" Type="http://schemas.openxmlformats.org/officeDocument/2006/relationships/image" Target="media/image1.jpeg"/>
</Relationships>
</file>

<file path=word/_rels/footer16.xml.rels><?xml version="1.0" encoding="UTF-8"?>
<Relationships xmlns="http://schemas.openxmlformats.org/package/2006/relationships"><Relationship Id="rId1" Type="http://schemas.openxmlformats.org/officeDocument/2006/relationships/image" Target="media/image1.jpeg"/>
</Relationships>
</file>

<file path=word/_rels/footer18.xml.rels><?xml version="1.0" encoding="UTF-8"?>
<Relationships xmlns="http://schemas.openxmlformats.org/package/2006/relationships"><Relationship Id="rId1" Type="http://schemas.openxmlformats.org/officeDocument/2006/relationships/image" Target="media/image1.jpeg"/>
</Relationships>
</file>

<file path=word/_rels/footer2.xml.rels><?xml version="1.0" encoding="UTF-8"?>
<Relationships xmlns="http://schemas.openxmlformats.org/package/2006/relationships"><Relationship Id="rId1" Type="http://schemas.openxmlformats.org/officeDocument/2006/relationships/image" Target="media/image1.jpeg"/>
</Relationships>
</file>

<file path=word/_rels/footer20.xml.rels><?xml version="1.0" encoding="UTF-8"?>
<Relationships xmlns="http://schemas.openxmlformats.org/package/2006/relationships"><Relationship Id="rId1" Type="http://schemas.openxmlformats.org/officeDocument/2006/relationships/image" Target="media/image1.jpeg"/>
</Relationships>
</file>

<file path=word/_rels/footer22.xml.rels><?xml version="1.0" encoding="UTF-8"?>
<Relationships xmlns="http://schemas.openxmlformats.org/package/2006/relationships"><Relationship Id="rId1" Type="http://schemas.openxmlformats.org/officeDocument/2006/relationships/image" Target="media/image1.jpeg"/>
</Relationships>
</file>

<file path=word/_rels/footer24.xml.rels><?xml version="1.0" encoding="UTF-8"?>
<Relationships xmlns="http://schemas.openxmlformats.org/package/2006/relationships"><Relationship Id="rId1" Type="http://schemas.openxmlformats.org/officeDocument/2006/relationships/image" Target="media/image1.jpeg"/>
</Relationships>
</file>

<file path=word/_rels/footer4.xml.rels><?xml version="1.0" encoding="UTF-8"?>
<Relationships xmlns="http://schemas.openxmlformats.org/package/2006/relationships"><Relationship Id="rId1" Type="http://schemas.openxmlformats.org/officeDocument/2006/relationships/image" Target="media/image1.jpeg"/>
</Relationships>
</file>

<file path=word/_rels/footer6.xml.rels><?xml version="1.0" encoding="UTF-8"?>
<Relationships xmlns="http://schemas.openxmlformats.org/package/2006/relationships"><Relationship Id="rId1" Type="http://schemas.openxmlformats.org/officeDocument/2006/relationships/image" Target="media/image1.jpeg"/>
</Relationships>
</file>

<file path=word/_rels/footer8.xml.rels><?xml version="1.0" encoding="UTF-8"?>
<Relationships xmlns="http://schemas.openxmlformats.org/package/2006/relationships"><Relationship Id="rId1" Type="http://schemas.openxmlformats.org/officeDocument/2006/relationships/image" Target="media/image1.jpeg"/>
</Relationships>
</file>

<file path=word/_rels/header1.xml.rels><?xml version="1.0" encoding="UTF-8"?>
<Relationships xmlns="http://schemas.openxmlformats.org/package/2006/relationships"><Relationship Id="rId1" Type="http://schemas.openxmlformats.org/officeDocument/2006/relationships/image" Target="media/image3.png"/>
</Relationships>
</file>

<file path=word/_rels/header10.xml.rels><?xml version="1.0" encoding="UTF-8"?>
<Relationships xmlns="http://schemas.openxmlformats.org/package/2006/relationships"><Relationship Id="rId1" Type="http://schemas.openxmlformats.org/officeDocument/2006/relationships/image" Target="media/image3.png"/>
</Relationships>
</file>

<file path=word/_rels/header12.xml.rels><?xml version="1.0" encoding="UTF-8"?>
<Relationships xmlns="http://schemas.openxmlformats.org/package/2006/relationships"><Relationship Id="rId1" Type="http://schemas.openxmlformats.org/officeDocument/2006/relationships/image" Target="media/image3.png"/>
</Relationships>
</file>

<file path=word/_rels/header14.xml.rels><?xml version="1.0" encoding="UTF-8"?>
<Relationships xmlns="http://schemas.openxmlformats.org/package/2006/relationships"><Relationship Id="rId1" Type="http://schemas.openxmlformats.org/officeDocument/2006/relationships/image" Target="media/image3.png"/>
</Relationships>
</file>

<file path=word/_rels/header16.xml.rels><?xml version="1.0" encoding="UTF-8"?>
<Relationships xmlns="http://schemas.openxmlformats.org/package/2006/relationships"><Relationship Id="rId1" Type="http://schemas.openxmlformats.org/officeDocument/2006/relationships/image" Target="media/image3.png"/>
</Relationships>
</file>

<file path=word/_rels/header18.xml.rels><?xml version="1.0" encoding="UTF-8"?>
<Relationships xmlns="http://schemas.openxmlformats.org/package/2006/relationships"><Relationship Id="rId1" Type="http://schemas.openxmlformats.org/officeDocument/2006/relationships/image" Target="media/image3.png"/>
</Relationships>
</file>

<file path=word/_rels/header2.xml.rels><?xml version="1.0" encoding="UTF-8"?>
<Relationships xmlns="http://schemas.openxmlformats.org/package/2006/relationships"><Relationship Id="rId1" Type="http://schemas.openxmlformats.org/officeDocument/2006/relationships/image" Target="media/image3.png"/>
</Relationships>
</file>

<file path=word/_rels/header20.xml.rels><?xml version="1.0" encoding="UTF-8"?>
<Relationships xmlns="http://schemas.openxmlformats.org/package/2006/relationships"><Relationship Id="rId1" Type="http://schemas.openxmlformats.org/officeDocument/2006/relationships/image" Target="media/image3.png"/>
</Relationships>
</file>

<file path=word/_rels/header22.xml.rels><?xml version="1.0" encoding="UTF-8"?>
<Relationships xmlns="http://schemas.openxmlformats.org/package/2006/relationships"><Relationship Id="rId1" Type="http://schemas.openxmlformats.org/officeDocument/2006/relationships/image" Target="media/image3.png"/>
</Relationships>
</file>

<file path=word/_rels/header24.xml.rels><?xml version="1.0" encoding="UTF-8"?>
<Relationships xmlns="http://schemas.openxmlformats.org/package/2006/relationships"><Relationship Id="rId1" Type="http://schemas.openxmlformats.org/officeDocument/2006/relationships/image" Target="media/image3.png"/>
</Relationships>
</file>

<file path=word/_rels/header4.xml.rels><?xml version="1.0" encoding="UTF-8"?>
<Relationships xmlns="http://schemas.openxmlformats.org/package/2006/relationships"><Relationship Id="rId1" Type="http://schemas.openxmlformats.org/officeDocument/2006/relationships/image" Target="media/image3.png"/>
</Relationships>
</file>

<file path=word/_rels/header6.xml.rels><?xml version="1.0" encoding="UTF-8"?>
<Relationships xmlns="http://schemas.openxmlformats.org/package/2006/relationships"><Relationship Id="rId1" Type="http://schemas.openxmlformats.org/officeDocument/2006/relationships/image" Target="media/image3.png"/>
</Relationships>
</file>

<file path=word/_rels/header8.xml.rels><?xml version="1.0" encoding="UTF-8"?>
<Relationships xmlns="http://schemas.openxmlformats.org/package/2006/relationships"><Relationship Id="rId1" Type="http://schemas.openxmlformats.org/officeDocument/2006/relationships/image" Target="media/image3.png"/>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23</TotalTime>
  <Application>Collabora_Office/25.04.9.2$Windows_X86_64 LibreOffice_project/29b0eb8ba16f7c9f343ec5f335fd28028457dac3</Application>
  <AppVersion>15.0000</AppVersion>
  <Pages>33</Pages>
  <Words>7053</Words>
  <Characters>36676</Characters>
  <CharactersWithSpaces>42897</CharactersWithSpaces>
  <Paragraphs>679</Paragraphs>
  <Company>HP</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2025-06-10T08:25:00Z</dcterms:created>
  <dc:creator>mohamed EL MOTASSADIQ</dc:creator>
  <dc:description/>
  <dc:language>fr-FR</dc:language>
  <cp:lastModifiedBy/>
  <cp:lastPrinted>2026-04-09T10:39:09Z</cp:lastPrinted>
  <dcterms:modified xsi:type="dcterms:W3CDTF">2026-04-01T11:24:35Z</dcterms:modified>
  <cp:revision>81</cp:revision>
  <dc:subject/>
  <dc:title/>
</cp:coreProperties>
</file>

<file path=docProps/custom.xml><?xml version="1.0" encoding="utf-8"?>
<Properties xmlns="http://schemas.openxmlformats.org/officeDocument/2006/custom-properties" xmlns:vt="http://schemas.openxmlformats.org/officeDocument/2006/docPropsVTypes"/>
</file>